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00" w:rsidRPr="00F36BA9" w:rsidRDefault="00175B00" w:rsidP="00175B00">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175B00" w:rsidRPr="00F36BA9" w:rsidRDefault="00175B00" w:rsidP="00175B00">
      <w:pPr>
        <w:spacing w:after="120" w:line="276" w:lineRule="auto"/>
        <w:jc w:val="both"/>
        <w:rPr>
          <w:rFonts w:ascii="Times New Roman" w:eastAsia="Times New Roman" w:hAnsi="Times New Roman" w:cs="Times New Roman"/>
          <w:b/>
          <w:color w:val="000000"/>
          <w:sz w:val="24"/>
          <w:szCs w:val="24"/>
          <w:u w:val="single"/>
        </w:rPr>
      </w:pPr>
    </w:p>
    <w:p w:rsidR="00175B00" w:rsidRPr="00F36BA9" w:rsidRDefault="00175B00" w:rsidP="00175B00">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175B00" w:rsidRPr="00F36BA9" w:rsidRDefault="00175B00" w:rsidP="00175B00">
      <w:pPr>
        <w:numPr>
          <w:ilvl w:val="0"/>
          <w:numId w:val="15"/>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175B00" w:rsidRPr="00F36BA9" w:rsidRDefault="00175B00" w:rsidP="00175B00">
      <w:pPr>
        <w:numPr>
          <w:ilvl w:val="0"/>
          <w:numId w:val="15"/>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175B00" w:rsidRPr="00F36BA9" w:rsidRDefault="00175B00" w:rsidP="00175B00">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175B00" w:rsidRPr="00F36BA9" w:rsidRDefault="00175B00" w:rsidP="00175B0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175B00" w:rsidRPr="00F36BA9" w:rsidRDefault="00175B00" w:rsidP="00175B00">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175B00" w:rsidRPr="00F36BA9"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175B00" w:rsidRDefault="00175B00" w:rsidP="00175B00">
      <w:pPr>
        <w:numPr>
          <w:ilvl w:val="0"/>
          <w:numId w:val="16"/>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175B00" w:rsidRDefault="00175B00" w:rsidP="00175B00">
      <w:pPr>
        <w:spacing w:after="120" w:line="276" w:lineRule="auto"/>
        <w:jc w:val="both"/>
        <w:rPr>
          <w:rFonts w:ascii="Times New Roman" w:eastAsia="Times New Roman" w:hAnsi="Times New Roman" w:cs="Times New Roman"/>
          <w:color w:val="000000"/>
          <w:sz w:val="24"/>
          <w:szCs w:val="24"/>
        </w:rPr>
      </w:pPr>
    </w:p>
    <w:p w:rsidR="00175B00" w:rsidRPr="00F36BA9" w:rsidRDefault="00175B00" w:rsidP="00175B0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175B00" w:rsidRPr="00F36BA9" w:rsidRDefault="00175B00" w:rsidP="00175B0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175B00" w:rsidRPr="00F36BA9" w:rsidRDefault="00175B00" w:rsidP="00175B00">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175B00" w:rsidRPr="00F36BA9" w:rsidRDefault="00175B00" w:rsidP="00175B00">
      <w:pPr>
        <w:numPr>
          <w:ilvl w:val="0"/>
          <w:numId w:val="18"/>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175B00" w:rsidRPr="00F36BA9" w:rsidRDefault="00175B00" w:rsidP="00175B00">
      <w:pPr>
        <w:spacing w:after="120" w:line="276" w:lineRule="auto"/>
        <w:jc w:val="both"/>
        <w:rPr>
          <w:rFonts w:ascii="Times New Roman" w:eastAsia="Times New Roman" w:hAnsi="Times New Roman" w:cs="Times New Roman"/>
          <w:color w:val="000000"/>
          <w:sz w:val="24"/>
          <w:szCs w:val="24"/>
        </w:rPr>
      </w:pPr>
    </w:p>
    <w:p w:rsidR="00175B00" w:rsidRPr="00F36BA9" w:rsidRDefault="00175B00" w:rsidP="00175B00">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175B00" w:rsidRPr="00F36BA9" w:rsidRDefault="00175B00" w:rsidP="00175B00">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tretë</w:t>
      </w:r>
      <w:r w:rsidRPr="00F36BA9">
        <w:rPr>
          <w:rFonts w:ascii="Times New Roman" w:eastAsia="Calibri" w:hAnsi="Times New Roman" w:cs="Times New Roman"/>
          <w:color w:val="000000"/>
          <w:sz w:val="24"/>
          <w:szCs w:val="24"/>
          <w:lang w:val="it-IT"/>
        </w:rPr>
        <w:t xml:space="preserve"> </w:t>
      </w:r>
      <w:r>
        <w:rPr>
          <w:rFonts w:ascii="Times New Roman" w:eastAsia="Calibri" w:hAnsi="Times New Roman" w:cs="Times New Roman"/>
          <w:color w:val="000000"/>
          <w:sz w:val="24"/>
          <w:szCs w:val="24"/>
          <w:lang w:val="it-IT"/>
        </w:rPr>
        <w:t>Master Ekzekutiv</w:t>
      </w:r>
      <w:r w:rsidRPr="00F36BA9">
        <w:rPr>
          <w:rFonts w:ascii="Times New Roman" w:eastAsia="Calibri" w:hAnsi="Times New Roman" w:cs="Times New Roman"/>
          <w:color w:val="000000"/>
          <w:sz w:val="24"/>
          <w:szCs w:val="24"/>
          <w:lang w:val="it-IT"/>
        </w:rPr>
        <w: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175B00" w:rsidRPr="00F36BA9"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3C15E0" w:rsidRDefault="00175B00" w:rsidP="00175B00">
      <w:pPr>
        <w:numPr>
          <w:ilvl w:val="0"/>
          <w:numId w:val="17"/>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Raporti i Vlerësimit të Brendshëm duhet të përmbajë edhe analizën përfundimtare të institucionit duke vënë në dukje pikat e forta dhe të dobëta të</w:t>
      </w:r>
      <w:r>
        <w:rPr>
          <w:rFonts w:ascii="Times New Roman" w:eastAsia="Calibri" w:hAnsi="Times New Roman" w:cs="Times New Roman"/>
          <w:color w:val="000000"/>
          <w:sz w:val="24"/>
          <w:szCs w:val="24"/>
          <w:lang w:val="it-IT"/>
        </w:rPr>
        <w:t xml:space="preserve"> t</w:t>
      </w:r>
    </w:p>
    <w:p w:rsidR="00175B00" w:rsidRPr="00175B00" w:rsidRDefault="00175B00" w:rsidP="00175B00">
      <w:pPr>
        <w:spacing w:after="120" w:line="276" w:lineRule="auto"/>
        <w:ind w:left="357"/>
        <w:jc w:val="both"/>
        <w:rPr>
          <w:rFonts w:ascii="Times New Roman" w:eastAsia="Calibri" w:hAnsi="Times New Roman" w:cs="Times New Roman"/>
          <w:b/>
          <w:color w:val="000000"/>
          <w:sz w:val="24"/>
          <w:szCs w:val="24"/>
          <w:lang w:val="it-IT"/>
        </w:rPr>
      </w:pPr>
    </w:p>
    <w:p w:rsidR="003C15E0" w:rsidRDefault="003C15E0" w:rsidP="009931AD">
      <w:pPr>
        <w:spacing w:after="120" w:line="276" w:lineRule="auto"/>
        <w:jc w:val="center"/>
        <w:rPr>
          <w:rFonts w:ascii="Times New Roman" w:eastAsia="Calibri" w:hAnsi="Times New Roman" w:cs="Times New Roman"/>
          <w:noProof/>
          <w:color w:val="FF0000"/>
          <w:sz w:val="32"/>
          <w:szCs w:val="32"/>
        </w:rPr>
      </w:pPr>
    </w:p>
    <w:p w:rsidR="009931AD" w:rsidRDefault="009931AD" w:rsidP="009931AD">
      <w:pPr>
        <w:spacing w:after="120" w:line="276" w:lineRule="auto"/>
        <w:jc w:val="center"/>
        <w:rPr>
          <w:rFonts w:ascii="Times New Roman" w:eastAsia="Calibri" w:hAnsi="Times New Roman" w:cs="Times New Roman"/>
          <w:color w:val="FF0000"/>
          <w:sz w:val="32"/>
          <w:szCs w:val="32"/>
        </w:rPr>
      </w:pPr>
      <w:r>
        <w:rPr>
          <w:rFonts w:ascii="Times New Roman" w:eastAsia="Calibri" w:hAnsi="Times New Roman" w:cs="Times New Roman"/>
          <w:noProof/>
          <w:color w:val="FF0000"/>
          <w:sz w:val="32"/>
          <w:szCs w:val="32"/>
        </w:rPr>
        <w:lastRenderedPageBreak/>
        <w:t>Logo e Institucionit të arsimit të lartë</w:t>
      </w:r>
    </w:p>
    <w:p w:rsidR="009931AD" w:rsidRDefault="009931AD" w:rsidP="009931AD">
      <w:pPr>
        <w:spacing w:after="120" w:line="276" w:lineRule="auto"/>
        <w:jc w:val="center"/>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0105E7"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0839F4">
        <w:rPr>
          <w:rFonts w:ascii="Baskerville Old Face" w:hAnsi="Baskerville Old Face"/>
          <w:b/>
          <w:sz w:val="36"/>
          <w:szCs w:val="36"/>
          <w:u w:val="single"/>
        </w:rPr>
        <w:t xml:space="preserve"> PERIODIK</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7175FD">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të Master</w:t>
            </w:r>
            <w:r w:rsidR="009D6985">
              <w:rPr>
                <w:rFonts w:ascii="Baskerville Old Face" w:eastAsia="Arial Unicode MS" w:hAnsi="Baskerville Old Face" w:cs="Times New Roman"/>
                <w:b/>
                <w:sz w:val="36"/>
                <w:szCs w:val="36"/>
                <w:bdr w:val="nil"/>
                <w:lang w:val="sq-AL" w:eastAsia="sq-AL"/>
              </w:rPr>
              <w:t xml:space="preserve"> </w:t>
            </w:r>
            <w:r w:rsidR="007175FD">
              <w:rPr>
                <w:rFonts w:ascii="Baskerville Old Face" w:eastAsia="Arial Unicode MS" w:hAnsi="Baskerville Old Face" w:cs="Times New Roman"/>
                <w:b/>
                <w:color w:val="FF0000"/>
                <w:sz w:val="36"/>
                <w:szCs w:val="36"/>
                <w:bdr w:val="nil"/>
                <w:lang w:val="sq-AL" w:eastAsia="sq-AL"/>
              </w:rPr>
              <w:t xml:space="preserve">Ekzekutiv </w:t>
            </w:r>
            <w:r w:rsidR="00AC6D62">
              <w:rPr>
                <w:rFonts w:ascii="Baskerville Old Face" w:eastAsia="Arial Unicode MS" w:hAnsi="Baskerville Old Face" w:cs="Times New Roman"/>
                <w:b/>
                <w:color w:val="FF0000"/>
                <w:sz w:val="36"/>
                <w:szCs w:val="36"/>
                <w:bdr w:val="nil"/>
                <w:lang w:val="sq-AL" w:eastAsia="sq-AL"/>
              </w:rPr>
              <w:t xml:space="preserve">në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0105E7"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ED503D"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931AD" w:rsidRPr="009931AD" w:rsidRDefault="009931AD" w:rsidP="009931AD">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0839F4" w:rsidRDefault="000839F4"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9931AD" w:rsidRDefault="009931AD" w:rsidP="00A22051">
      <w:pPr>
        <w:spacing w:after="0" w:line="276" w:lineRule="auto"/>
        <w:jc w:val="center"/>
        <w:rPr>
          <w:rFonts w:ascii="Baskerville Old Face" w:hAnsi="Baskerville Old Face"/>
          <w:sz w:val="28"/>
          <w:szCs w:val="28"/>
        </w:rPr>
      </w:pPr>
    </w:p>
    <w:p w:rsidR="00FE6EAD" w:rsidRPr="000105E7" w:rsidRDefault="00A22051" w:rsidP="000105E7">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6A631F" w:rsidRPr="00C7643E" w:rsidRDefault="00AC6D62"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Pr="00C7643E">
        <w:rPr>
          <w:rFonts w:ascii="Times New Roman" w:eastAsia="Times New Roman" w:hAnsi="Times New Roman"/>
          <w:b/>
          <w:sz w:val="28"/>
          <w:szCs w:val="28"/>
        </w:rPr>
        <w:t xml:space="preserve"> </w:t>
      </w:r>
      <w:r w:rsidR="006A631F" w:rsidRPr="00C7643E">
        <w:rPr>
          <w:rFonts w:ascii="Times New Roman" w:eastAsia="Times New Roman" w:hAnsi="Times New Roman"/>
          <w:b/>
          <w:sz w:val="28"/>
          <w:szCs w:val="28"/>
        </w:rPr>
        <w:t xml:space="preserve">DHËNAVE PËR PROGRAMIN </w:t>
      </w:r>
      <w:r w:rsidR="000105E7">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PËRSHKRIMI I</w:t>
      </w:r>
      <w:r w:rsidR="000105E7">
        <w:rPr>
          <w:rFonts w:ascii="Times New Roman" w:hAnsi="Times New Roman" w:cs="Times New Roman"/>
          <w:b/>
          <w:sz w:val="28"/>
          <w:szCs w:val="28"/>
        </w:rPr>
        <w:t xml:space="preserve"> PROCESIT TË VLERËSIMIT TË BRENDSH</w:t>
      </w:r>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326C74" w:rsidRDefault="00326C74" w:rsidP="00C1352C">
      <w:pPr>
        <w:rPr>
          <w:rFonts w:ascii="Times New Roman" w:hAnsi="Times New Roman" w:cs="Times New Roman"/>
          <w:b/>
          <w:sz w:val="28"/>
          <w:szCs w:val="28"/>
        </w:rPr>
      </w:pPr>
    </w:p>
    <w:p w:rsidR="00326C74" w:rsidRPr="00CF70F3" w:rsidRDefault="00326C74" w:rsidP="00326C74">
      <w:pPr>
        <w:spacing w:after="120" w:line="276" w:lineRule="auto"/>
        <w:rPr>
          <w:rFonts w:ascii="Times New Roman" w:eastAsia="Times New Roman" w:hAnsi="Times New Roman"/>
          <w:b/>
          <w:sz w:val="28"/>
          <w:szCs w:val="28"/>
        </w:rPr>
      </w:pPr>
      <w:r w:rsidRPr="00CF70F3">
        <w:rPr>
          <w:rFonts w:ascii="Times New Roman" w:eastAsia="Times New Roman" w:hAnsi="Times New Roman"/>
          <w:b/>
          <w:sz w:val="28"/>
          <w:szCs w:val="28"/>
        </w:rPr>
        <w:t>SHKALLA E PERMBUSHJES SË REK</w:t>
      </w:r>
      <w:r>
        <w:rPr>
          <w:rFonts w:ascii="Times New Roman" w:eastAsia="Times New Roman" w:hAnsi="Times New Roman"/>
          <w:b/>
          <w:sz w:val="28"/>
          <w:szCs w:val="28"/>
        </w:rPr>
        <w:t>OMANDIMEVE NGA AKREDITIMI I FUNDIT</w:t>
      </w:r>
    </w:p>
    <w:p w:rsidR="00326C74" w:rsidRPr="00CF70F3" w:rsidRDefault="00326C74" w:rsidP="00326C74">
      <w:pPr>
        <w:spacing w:after="120" w:line="276" w:lineRule="auto"/>
        <w:rPr>
          <w:rFonts w:ascii="Times New Roman" w:eastAsia="Times New Roman" w:hAnsi="Times New Roman"/>
          <w:b/>
          <w:sz w:val="24"/>
          <w:szCs w:val="28"/>
        </w:rPr>
      </w:pPr>
    </w:p>
    <w:p w:rsidR="00326C74" w:rsidRPr="00CF70F3" w:rsidRDefault="00326C74" w:rsidP="00326C74">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w:t>
      </w:r>
      <w:r w:rsidRPr="00CF70F3">
        <w:rPr>
          <w:rFonts w:ascii="Times New Roman" w:eastAsia="Times New Roman" w:hAnsi="Times New Roman"/>
          <w:b/>
          <w:sz w:val="24"/>
          <w:szCs w:val="28"/>
        </w:rPr>
        <w:tab/>
        <w:t>Rekomandimet e Bordit të Akreditimit mbështetur në Vendimin Nr., datë janë:</w:t>
      </w:r>
    </w:p>
    <w:p w:rsidR="00326C74" w:rsidRPr="00073AD9" w:rsidRDefault="00326C74" w:rsidP="00326C74">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II.</w:t>
      </w:r>
      <w:r w:rsidRPr="00CF70F3">
        <w:rPr>
          <w:rFonts w:ascii="Times New Roman" w:eastAsia="Times New Roman" w:hAnsi="Times New Roman"/>
          <w:b/>
          <w:sz w:val="24"/>
          <w:szCs w:val="28"/>
        </w:rPr>
        <w:tab/>
        <w:t>Plotësimi i rekomandimeve nga Institucioni</w:t>
      </w:r>
    </w:p>
    <w:p w:rsidR="00326C74" w:rsidRDefault="00326C74"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7175FD">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7175FD">
        <w:rPr>
          <w:rFonts w:ascii="Times New Roman" w:hAnsi="Times New Roman" w:cs="Times New Roman"/>
          <w:b/>
          <w:color w:val="FF0000"/>
          <w:sz w:val="28"/>
          <w:szCs w:val="28"/>
          <w:u w:val="single"/>
        </w:rPr>
        <w:t xml:space="preserve">Master Ekzekutiv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32F97"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32F97">
        <w:rPr>
          <w:rFonts w:ascii="Times New Roman" w:eastAsia="Times New Roman" w:hAnsi="Times New Roman" w:cs="Times New Roman"/>
          <w:b/>
          <w:bCs/>
          <w:sz w:val="24"/>
          <w:szCs w:val="24"/>
          <w:lang w:val="sq-AL"/>
        </w:rPr>
        <w:t>OFRIMI I PROGRAMIT TË STUDIMIT</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763530" w:rsidP="00243BA4">
            <w:pPr>
              <w:spacing w:line="276" w:lineRule="auto"/>
              <w:jc w:val="both"/>
              <w:rPr>
                <w:rFonts w:ascii="Times New Roman" w:hAnsi="Times New Roman" w:cs="Times New Roman"/>
                <w:b/>
              </w:rPr>
            </w:pPr>
            <w:r w:rsidRPr="00763530">
              <w:rPr>
                <w:rFonts w:ascii="Times New Roman" w:hAnsi="Times New Roman" w:cs="Times New Roman"/>
                <w:b/>
                <w:lang w:val="sq-AL"/>
              </w:rPr>
              <w:t>Institucioni i arsimit të lartë ofron programe studimi në përputhje me misionin dhe qëllimin e tij e që synon ruajtjen e interesave dhe vlerave kombëtare, si dhe në përputhje me strategjinë e zhvillimit, statutin dhe aktet e tjera rregullatore të tij</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i arsimit të lartë ofron programe studimi që nuk bien ndesh me interesat kombëtare dhe synojnë ruajtjen dhe konsolidimin e vlerave a</w:t>
            </w:r>
            <w:r w:rsidR="00AC6D62">
              <w:rPr>
                <w:rFonts w:ascii="Times New Roman" w:hAnsi="Times New Roman" w:cs="Times New Roman"/>
                <w:sz w:val="20"/>
                <w:szCs w:val="20"/>
              </w:rPr>
              <w:t>kademike e kulturore kombëtare.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dhe ofrohet në përputhje me qëllimet dhe misionin e institucionit, si dhe fushën e veprimtarisë shkencore.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dhe ofrohet në përputhje me strategjinë për zhvillim te institucionit, strategjinë për zhvillimin shkencor të Njësisë kryesore/bazë, të Statutit dhe Rregullores së Institucionit dhe në përputhje me fushat e drejtimet akademike të tij.</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w:t>
            </w:r>
            <w:r w:rsidR="00763530" w:rsidRPr="00763530">
              <w:rPr>
                <w:rFonts w:ascii="Times New Roman" w:hAnsi="Times New Roman" w:cs="Times New Roman"/>
                <w:sz w:val="20"/>
                <w:szCs w:val="20"/>
              </w:rPr>
              <w:t>Programi i studimit hartohet e zhvillohet në përputhje me strategjitë kombëtare të zhvillimit të arsimit të lartë, interesit kombëtar dhe prirjet globale të zhvillimit mbështetur në dokumentacionin përkatës vendas dhe atë ndërkombëtar.</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DB777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Programi i studimit është në përputhje me fushën akademike të njësisë kryesore dhe bazë përgjegjëse për programin e studimit në institucion</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Institucioni demonstron se ka përvojën, kapacitetet dhe burimet e duhura në fushën akademike specifike për ofrimin e një programi studimi në atë fushë.</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5269F1"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8E3D7B" w:rsidRPr="008E3D7B">
              <w:rPr>
                <w:rFonts w:ascii="Times New Roman" w:hAnsi="Times New Roman" w:cs="Times New Roman"/>
                <w:sz w:val="20"/>
                <w:szCs w:val="20"/>
              </w:rPr>
              <w:t>Fusha e përgjithshme dhe specifike e programit të studimit duhet të jetë në përputhje me fushën akademike e kërkimore të njësisë bazë, përgjegjëse për programin e studimit. Në rastet e programeve ndërdisiplinore, të paktën një nga njësitë bashkëpunuese duhet ta sigurojë këtë përputhje.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F77DD4" w:rsidP="00243BA4">
            <w:pPr>
              <w:spacing w:line="276" w:lineRule="auto"/>
              <w:jc w:val="both"/>
              <w:rPr>
                <w:rFonts w:ascii="Times New Roman" w:hAnsi="Times New Roman" w:cs="Times New Roman"/>
                <w:b/>
              </w:rPr>
            </w:pPr>
            <w:r w:rsidRPr="00F77DD4">
              <w:rPr>
                <w:rFonts w:ascii="Times New Roman" w:hAnsi="Times New Roman"/>
                <w:b/>
                <w:color w:val="000000" w:themeColor="text1"/>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2F7FBE">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Institucioni për hartimin, mbikëqyrjen dhe mbarëvajtjen e programit, siguron marrëdhënie të frytshme bashkëpunimi brenda institucionit nëpërmjet ndarjes së detyrave mes njësive e personelit, marrjes së përgjegjësive përkatëse dhe analizës së vazhdueshme të punës së tyre.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Për realizimin e objektivave e procesit mësimor e shkencor të studentëve, institucioni vendos marrëdhënie bashkëpunimi me institucionet homologe brenda dhe/ose jashtë vendit, aktorët e biznesit vendës dhe/ose të huaj.</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Për realizimin e programit të studimit, institucioni nënshkruan marrëveshje të posaçme me industrinë dhe me rrjetet e profesionistëve, për realizimin e orëve praktike parashikuar në syllabuset e lëndëve, projektit kërkimor-shkencor dhe diplomës.</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AC6D62">
            <w:pPr>
              <w:spacing w:line="276" w:lineRule="auto"/>
              <w:rPr>
                <w:rFonts w:ascii="Times New Roman" w:hAnsi="Times New Roman" w:cs="Times New Roman"/>
                <w:sz w:val="20"/>
                <w:szCs w:val="20"/>
              </w:rPr>
            </w:pPr>
            <w:r w:rsidRPr="00532419">
              <w:rPr>
                <w:rFonts w:ascii="Times New Roman" w:hAnsi="Times New Roman" w:cs="Times New Roman"/>
                <w:b/>
                <w:sz w:val="20"/>
                <w:szCs w:val="20"/>
              </w:rPr>
              <w:t>Kriteri 4.</w:t>
            </w:r>
            <w:r w:rsidRPr="00F77DD4">
              <w:rPr>
                <w:rFonts w:ascii="Times New Roman" w:hAnsi="Times New Roman" w:cs="Times New Roman"/>
                <w:sz w:val="20"/>
                <w:szCs w:val="20"/>
              </w:rPr>
              <w:t xml:space="preserve"> </w:t>
            </w:r>
            <w:r w:rsidR="004F6C09" w:rsidRPr="004F6C09">
              <w:rPr>
                <w:rFonts w:ascii="Times New Roman" w:hAnsi="Times New Roman" w:cs="Times New Roman"/>
                <w:sz w:val="20"/>
                <w:szCs w:val="20"/>
              </w:rPr>
              <w:t>Në mënyrë periodike, njësia përgjegjëse për programin e studimit harton raporte analitike të përfitimeve nga marrëveshjet e bashkëpunimit në funksion të realizimit të programit të studimit.</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BC5491" w:rsidRDefault="00BC5491"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w:t>
      </w:r>
      <w:r w:rsidR="00883A97">
        <w:rPr>
          <w:rFonts w:ascii="Times New Roman" w:eastAsia="Times New Roman" w:hAnsi="Times New Roman" w:cs="Times New Roman"/>
          <w:b/>
          <w:bCs/>
          <w:caps/>
          <w:sz w:val="24"/>
          <w:szCs w:val="24"/>
          <w:lang w:val="sq-AL"/>
        </w:rPr>
        <w:t>Studimit</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5E6F8E" w:rsidP="00243BA4">
            <w:pPr>
              <w:spacing w:line="276" w:lineRule="auto"/>
              <w:jc w:val="both"/>
              <w:rPr>
                <w:rFonts w:ascii="Times New Roman" w:hAnsi="Times New Roman" w:cs="Times New Roman"/>
                <w:b/>
              </w:rPr>
            </w:pPr>
            <w:r w:rsidRPr="005E6F8E">
              <w:rPr>
                <w:rFonts w:ascii="Times New Roman" w:hAnsi="Times New Roman" w:cs="Times New Roman"/>
                <w:b/>
                <w:lang w:val="sq-AL"/>
              </w:rPr>
              <w:t>Programi i studimit organizohet në përputhje me parashikimet ligjore e nënligjore kombëtare në fuqi dhe akteve të brendshme rregullatore</w:t>
            </w:r>
            <w:r>
              <w:rPr>
                <w:rFonts w:ascii="Times New Roman" w:hAnsi="Times New Roman" w:cs="Times New Roman"/>
                <w:b/>
                <w:lang w:val="sq-AL"/>
              </w:rPr>
              <w:t>.</w:t>
            </w:r>
          </w:p>
        </w:tc>
      </w:tr>
      <w:tr w:rsidR="00C1352C" w:rsidRPr="00A6411D" w:rsidTr="00B935CD">
        <w:trPr>
          <w:trHeight w:val="350"/>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1.</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Elementet që përbëjnë strukturën e programit të studimit, veprimtaritë formuese, të vlerësuara në kredite, janë përcaktuar qartë në përputhje me legjislacionin vendas në fuqi dhe me Sistemin Evropian të Transferimit dhe Grumbullimit të Krediteve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2.</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Programi i studimit synon të garantojnë përftimin e dijeve të thelluara, aftësive profesionale, shkathtësive e kompetencave që i përgjigjen nevojave të tregut dhe lehtësojnë punësimin e studentëve apo rritjen profesionale të të punësuarve</w:t>
            </w:r>
            <w:r w:rsidR="00D41A96">
              <w:rPr>
                <w:rFonts w:ascii="Times New Roman" w:hAnsi="Times New Roman" w:cs="Times New Roman"/>
                <w:sz w:val="20"/>
                <w:szCs w:val="20"/>
              </w:rPr>
              <w: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3.</w:t>
            </w:r>
            <w:r w:rsidRP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Programi i studimit ka të përcaktuar ngarkesën në kredite për të gjitha lëndët/modulet, duke përfshire dhe kreditet e detyrimeve përmbyllëse.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4</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Forma e organizimit të studimeve, pranimi i studentëve dhe financimi në institucionet e arsimit të lartë me status të veçantë realizohen në përputhje me ligjin e arsimit të lartë dhe specifikat përkatëse, të përcaktuara me udhëzim të ministrisë përgjegjëse për arsimin.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5E6F8E"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5</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00D41A96" w:rsidRPr="00D41A96">
              <w:rPr>
                <w:rFonts w:ascii="Times New Roman" w:hAnsi="Times New Roman" w:cs="Times New Roman"/>
                <w:sz w:val="20"/>
                <w:szCs w:val="20"/>
              </w:rPr>
              <w:t>Programet e studimit, që ofrohen në të njëjtën fushë studimi, cikël si dhe me të njëjtën emërtesë, duhet të kenë përmbajtje të ngjashme në nivel, së paku 70 për qind.</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46A41" w:rsidRDefault="00146A41" w:rsidP="00B935CD">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6.</w:t>
            </w:r>
            <w:r>
              <w:rPr>
                <w:rFonts w:ascii="Times New Roman" w:hAnsi="Times New Roman" w:cs="Times New Roman"/>
                <w:sz w:val="20"/>
                <w:szCs w:val="20"/>
              </w:rPr>
              <w:t xml:space="preserve"> </w:t>
            </w:r>
            <w:r w:rsidR="00D41A96" w:rsidRPr="00D41A96">
              <w:rPr>
                <w:rFonts w:ascii="Times New Roman" w:hAnsi="Times New Roman" w:cs="Times New Roman"/>
                <w:sz w:val="20"/>
                <w:szCs w:val="20"/>
              </w:rPr>
              <w:t>Një programi studimi shoqërohet me kodin përkatës, sipas fushës së studimit dhe klasifikimeve të bëra publike nga ministria përgjegjëse për arsimin. Më tej kryet kodifikimi i lëndëve të programit.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B935CD">
        <w:trPr>
          <w:trHeight w:val="70"/>
        </w:trPr>
        <w:tc>
          <w:tcPr>
            <w:tcW w:w="3154" w:type="dxa"/>
          </w:tcPr>
          <w:p w:rsidR="00B935CD" w:rsidRPr="00B935CD" w:rsidRDefault="00146A41" w:rsidP="00B935CD">
            <w:pPr>
              <w:tabs>
                <w:tab w:val="left" w:pos="993"/>
              </w:tabs>
              <w:spacing w:line="276" w:lineRule="auto"/>
              <w:rPr>
                <w:rFonts w:ascii="Times New Roman" w:hAnsi="Times New Roman" w:cs="Times New Roman"/>
                <w:sz w:val="20"/>
                <w:szCs w:val="20"/>
              </w:rPr>
            </w:pPr>
            <w:r w:rsidRPr="00B935CD">
              <w:rPr>
                <w:rFonts w:ascii="Times New Roman" w:hAnsi="Times New Roman" w:cs="Times New Roman"/>
                <w:b/>
                <w:sz w:val="20"/>
                <w:szCs w:val="20"/>
              </w:rPr>
              <w:t>Kriteri 7.</w:t>
            </w:r>
            <w:r w:rsidRPr="00B935CD">
              <w:rPr>
                <w:rFonts w:ascii="Times New Roman" w:hAnsi="Times New Roman" w:cs="Times New Roman"/>
                <w:sz w:val="20"/>
                <w:szCs w:val="20"/>
              </w:rPr>
              <w:t xml:space="preserve"> </w:t>
            </w:r>
            <w:r w:rsidR="00D41A96" w:rsidRPr="00B935CD">
              <w:rPr>
                <w:rFonts w:ascii="Times New Roman" w:hAnsi="Times New Roman" w:cs="Times New Roman"/>
                <w:sz w:val="20"/>
                <w:szCs w:val="20"/>
              </w:rPr>
              <w:t>Programet e studimit mund të jenë edhe programe të përbashkëta midis dy ose më shumë institucioneve të arsimit të lartë, vendas dhe të huaj, në përp</w:t>
            </w:r>
            <w:r w:rsidR="00B935CD" w:rsidRPr="00B935CD">
              <w:rPr>
                <w:rFonts w:ascii="Times New Roman" w:hAnsi="Times New Roman" w:cs="Times New Roman"/>
                <w:sz w:val="20"/>
                <w:szCs w:val="20"/>
              </w:rPr>
              <w:t>uthje me legjislacionin në fuqi.</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B935CD">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 Pro W3" w:hAnsi="Times New Roman" w:cs="Times New Roman"/>
                <w:b/>
                <w:bCs/>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bCs/>
                <w:color w:val="000000"/>
                <w:lang w:val="sq-AL"/>
              </w:rPr>
              <w:t>.</w:t>
            </w:r>
          </w:p>
        </w:tc>
      </w:tr>
      <w:tr w:rsidR="00C1352C" w:rsidRPr="00A6411D" w:rsidTr="0040759B">
        <w:trPr>
          <w:trHeight w:val="350"/>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4C230A" w:rsidRDefault="004C230A" w:rsidP="0040759B">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1.</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e studimit përmbush detyrimet e përcaktuara në legjislacionin në fuqi për organizimin dhe strukturën akademike, stafet akademike vlerësimin dhe akreditimin.</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0759B" w:rsidRDefault="004C230A" w:rsidP="0040759B">
            <w:pPr>
              <w:spacing w:line="276" w:lineRule="auto"/>
              <w:rPr>
                <w:rFonts w:ascii="Times New Roman" w:hAnsi="Times New Roman" w:cs="Times New Roman"/>
                <w:spacing w:val="-6"/>
                <w:sz w:val="20"/>
                <w:szCs w:val="20"/>
              </w:rPr>
            </w:pPr>
            <w:r w:rsidRPr="004C230A">
              <w:rPr>
                <w:rFonts w:ascii="Times New Roman" w:hAnsi="Times New Roman" w:cs="Times New Roman"/>
                <w:b/>
                <w:sz w:val="20"/>
                <w:szCs w:val="20"/>
              </w:rPr>
              <w:t>Kriteri 2.</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e studimit përmbush detyrimet e përcaktuara në legjislacionin në fuqi, duke angazhuar personel ndihmës akademik /administrativ për realizimin e orëve praktike sipas syllabuseve të lëndëve, punëve laboratorike e klinike, projekteve studimore e kërkimore etj.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4C230A" w:rsidP="0040759B">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3.</w:t>
            </w:r>
            <w:r w:rsidRPr="004C230A">
              <w:rPr>
                <w:rFonts w:ascii="Times New Roman" w:hAnsi="Times New Roman" w:cs="Times New Roman"/>
                <w:sz w:val="20"/>
                <w:szCs w:val="20"/>
              </w:rPr>
              <w:t xml:space="preserve"> </w:t>
            </w:r>
            <w:r w:rsidR="004E5A4F" w:rsidRPr="004E5A4F">
              <w:rPr>
                <w:rFonts w:ascii="Times New Roman" w:hAnsi="Times New Roman" w:cs="Times New Roman"/>
                <w:sz w:val="20"/>
                <w:szCs w:val="20"/>
              </w:rPr>
              <w:t>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4E5A4F" w:rsidRPr="00A6411D" w:rsidTr="00342D97">
        <w:tc>
          <w:tcPr>
            <w:tcW w:w="3124" w:type="dxa"/>
          </w:tcPr>
          <w:p w:rsidR="00422BF6" w:rsidRPr="004E5A4F" w:rsidRDefault="004E5A4F" w:rsidP="004C230A">
            <w:pPr>
              <w:spacing w:line="276" w:lineRule="auto"/>
              <w:rPr>
                <w:rFonts w:ascii="Times New Roman" w:hAnsi="Times New Roman" w:cs="Times New Roman"/>
                <w:sz w:val="20"/>
                <w:szCs w:val="20"/>
              </w:rPr>
            </w:pPr>
            <w:r w:rsidRPr="004E5A4F">
              <w:rPr>
                <w:rFonts w:ascii="Times New Roman" w:hAnsi="Times New Roman" w:cs="Times New Roman"/>
                <w:b/>
                <w:sz w:val="20"/>
                <w:szCs w:val="20"/>
              </w:rPr>
              <w:t>Kriteri 4.</w:t>
            </w:r>
            <w:r w:rsidRPr="004E5A4F">
              <w:rPr>
                <w:rFonts w:ascii="Times New Roman" w:hAnsi="Times New Roman" w:cs="Times New Roman"/>
                <w:sz w:val="20"/>
                <w:szCs w:val="20"/>
              </w:rPr>
              <w:t xml:space="preserve"> Njësia kryesore/bazë përgjegjëse për programin ngre bordin e programit të studimit (organ këshillimor) që është i ndërtuar për programin e studimit dhe përbëhet nga personeli akademik, studentët, politikëbërësit dhe përfaqësuesit e tregut të punës. Në aktivitetin e tij bordi këshillimor mbështet ruajtjen e cilësisë së kurrikulës dhe përshtatjen e saj me kërkesat e tregut të punës.</w:t>
            </w:r>
          </w:p>
        </w:tc>
        <w:tc>
          <w:tcPr>
            <w:tcW w:w="6596" w:type="dxa"/>
            <w:gridSpan w:val="4"/>
          </w:tcPr>
          <w:p w:rsidR="004E5A4F" w:rsidRPr="00A6411D" w:rsidRDefault="004E5A4F"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131E96" w:rsidP="00243BA4">
            <w:pPr>
              <w:spacing w:line="276" w:lineRule="auto"/>
              <w:jc w:val="both"/>
              <w:rPr>
                <w:rFonts w:ascii="Times New Roman" w:hAnsi="Times New Roman" w:cs="Times New Roman"/>
                <w:b/>
              </w:rPr>
            </w:pPr>
            <w:r w:rsidRPr="00131E96">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studimit</w:t>
            </w:r>
            <w:r>
              <w:rPr>
                <w:rFonts w:ascii="Times New Roman" w:eastAsia="Times New Roman" w:hAnsi="Times New Roman" w:cs="Times New Roman"/>
                <w:b/>
                <w:bCs/>
                <w:lang w:val="sq-AL"/>
              </w:rPr>
              <w:t>.</w:t>
            </w:r>
          </w:p>
        </w:tc>
      </w:tr>
      <w:tr w:rsidR="00C1352C" w:rsidRPr="00A6411D" w:rsidTr="0040759B">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4C230A"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Njësia kryesore/bazë, përgjegjëse për programin e studimit, disponon informacionet e nevojshme për organizimin, strukturën dhe përmbajtjen e programit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planin mësimor, ku përfshihet informacioni i nevojshëm për ndarjen e lëndëve në semestral, ngarkesën mësimore të lëndëve/moduleve, orët në auditor/jashtë auditorit.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të gjitha informacionet e nevojshme për studentët që lidhen me kriteret e përgjithshme dhe specifike të pranimit, transferimit dhe ekuivalentimit të studimeve.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Programi i studimit përmban informacionet e nevojshme për programet lëndore (syllabuset) për secilën lëndë, për orët praktike, seminaret apo orët e laboratorit, si dhe të gjithë komponentët formues të programit, brenda dhe jashtë auditorit, në përputhje me formatet e miratuara.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w:t>
            </w:r>
            <w:r w:rsidR="00131E96" w:rsidRPr="00131E96">
              <w:rPr>
                <w:rFonts w:ascii="Times New Roman" w:hAnsi="Times New Roman" w:cs="Times New Roman"/>
                <w:sz w:val="20"/>
                <w:szCs w:val="20"/>
              </w:rPr>
              <w:t>Përmbajtja e programit të studimit është në përmirësim dhe përditësim të vazhdueshëm dhe në fillim të çdo viti akademik miratohen ndryshimet eventuale dhe arkivohet dosja e plotë në shqip dhe anglisht.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AD5240" w:rsidP="00243BA4">
            <w:pPr>
              <w:spacing w:line="276" w:lineRule="auto"/>
              <w:jc w:val="both"/>
              <w:rPr>
                <w:rFonts w:ascii="Times New Roman" w:hAnsi="Times New Roman" w:cs="Times New Roman"/>
                <w:b/>
              </w:rPr>
            </w:pPr>
            <w:r w:rsidRPr="00AD5240">
              <w:rPr>
                <w:rFonts w:ascii="Times New Roman" w:eastAsia="Times New Roman" w:hAnsi="Times New Roman" w:cs="Times New Roman"/>
                <w:b/>
                <w:bCs/>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Pr>
                <w:rFonts w:ascii="Times New Roman" w:eastAsia="Times New Roman" w:hAnsi="Times New Roman" w:cs="Times New Roman"/>
                <w:b/>
                <w:bCs/>
                <w:lang w:val="sq-AL"/>
              </w:rPr>
              <w:t>.</w:t>
            </w:r>
          </w:p>
        </w:tc>
      </w:tr>
      <w:tr w:rsidR="00C1352C" w:rsidRPr="00A6411D" w:rsidTr="0040759B">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AD5240" w:rsidRPr="00AD5240">
              <w:rPr>
                <w:rFonts w:ascii="Times New Roman" w:hAnsi="Times New Roman" w:cs="Times New Roman"/>
                <w:sz w:val="20"/>
                <w:szCs w:val="20"/>
              </w:rPr>
              <w:t>Emërtimi, përmbajtja e veprimtarive, shpërndarja e lëndëve dhe praktikave, mundësojnë, thellim të njohurive dhe aftësive për studime të mëtejshme dhe/ose promovimin profesional të studentëve.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Lëndët/modulet, shpërndarja në vite e semestra, vlerësimi në kredite e orë mësimore mundëson arritjen e objektivave formues të programit të studimit dhe rezultateve të pritshme të të nxënit dhe kërkimit shkencor.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Struktura e programit, lëndët, raporti teori praktikë është në përputhje me profilin e programit të studimit dhe e përafërt me programe të ngjashme ndërkombëtare.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Ndarja sipas veprimtarive formuese dhe raportet midis formimit teorik dhe praktik mundësojnë arritjen e objektivave formues, transferim të studimeve, dhe mobilitet.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Syllabuset (programet e lëndëve /moduleve) përditësohen në mënyrë të vazhdueshme për marrjen e kompetencave në përputhje me kërkesat e tregut të punës, duke përfshirë literaturën bazë dhe ndihmëse të viteve të fundit.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DE4B81">
            <w:pPr>
              <w:spacing w:after="120"/>
              <w:rPr>
                <w:rFonts w:ascii="Times New Roman" w:hAnsi="Times New Roman" w:cs="Times New Roman"/>
                <w:sz w:val="20"/>
                <w:szCs w:val="20"/>
              </w:rPr>
            </w:pPr>
            <w:r w:rsidRPr="00DE4B81">
              <w:rPr>
                <w:rFonts w:ascii="Times New Roman" w:hAnsi="Times New Roman" w:cs="Times New Roman"/>
                <w:b/>
                <w:sz w:val="20"/>
                <w:szCs w:val="20"/>
              </w:rPr>
              <w:t>Kriteri 6.</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Përmbajtja e programit të studimit garanton përftimin e dijeve, aftësive dhe kompetencave të synuara.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7.</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Përmbajtja e programit të studimit mundëson vijimin e mëtejshëm të studimeve dhe/ose punësimin e studentëve në përshtatje me pritshmëritë e kërkesat e tregut e punës.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422BF6" w:rsidRPr="00A6411D" w:rsidTr="00342D97">
        <w:tc>
          <w:tcPr>
            <w:tcW w:w="3060" w:type="dxa"/>
          </w:tcPr>
          <w:p w:rsidR="00422BF6" w:rsidRPr="0040759B" w:rsidRDefault="00422BF6" w:rsidP="00DE4B81">
            <w:pPr>
              <w:spacing w:line="276" w:lineRule="auto"/>
              <w:rPr>
                <w:rFonts w:ascii="Times New Roman" w:hAnsi="Times New Roman" w:cs="Times New Roman"/>
                <w:sz w:val="20"/>
                <w:szCs w:val="20"/>
                <w:lang w:val="sq-AL"/>
              </w:rPr>
            </w:pPr>
            <w:r w:rsidRPr="00422BF6">
              <w:rPr>
                <w:rFonts w:ascii="Times New Roman" w:hAnsi="Times New Roman" w:cs="Times New Roman"/>
                <w:b/>
                <w:sz w:val="20"/>
                <w:szCs w:val="20"/>
                <w:lang w:val="sq-AL"/>
              </w:rPr>
              <w:t>Kriter 8.</w:t>
            </w:r>
            <w:r w:rsidRPr="00422BF6">
              <w:rPr>
                <w:rFonts w:ascii="Times New Roman" w:hAnsi="Times New Roman" w:cs="Times New Roman"/>
                <w:sz w:val="20"/>
                <w:szCs w:val="20"/>
                <w:lang w:val="sq-AL"/>
              </w:rPr>
              <w:t xml:space="preserve"> Programi i studimit duhet të jetë kombinim i veprimtarive të formimit teorik dhe shkencor, orëve praktike, që mundësojnë zgjidhje praktike novatore të problemeve me të cilat përballen institucionet/orga</w:t>
            </w:r>
            <w:r w:rsidR="0040759B">
              <w:rPr>
                <w:rFonts w:ascii="Times New Roman" w:hAnsi="Times New Roman" w:cs="Times New Roman"/>
                <w:sz w:val="20"/>
                <w:szCs w:val="20"/>
                <w:lang w:val="sq-AL"/>
              </w:rPr>
              <w:t>nizatat.</w:t>
            </w:r>
          </w:p>
        </w:tc>
        <w:tc>
          <w:tcPr>
            <w:tcW w:w="6660" w:type="dxa"/>
            <w:gridSpan w:val="4"/>
          </w:tcPr>
          <w:p w:rsidR="00422BF6" w:rsidRPr="00A6411D" w:rsidRDefault="00422BF6"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422BF6" w:rsidP="00243BA4">
            <w:pPr>
              <w:spacing w:line="276" w:lineRule="auto"/>
              <w:jc w:val="both"/>
              <w:rPr>
                <w:rFonts w:ascii="Times New Roman" w:hAnsi="Times New Roman" w:cs="Times New Roman"/>
                <w:b/>
              </w:rPr>
            </w:pPr>
            <w:r w:rsidRPr="00422BF6">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C1352C" w:rsidRPr="00A6411D" w:rsidTr="0040759B">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Për përmirësimin e përmbajtjes së programit të studimit dhe për përshtatjen sa më mirë me kërkesat e tregut të punës, gjatë hartimit dhe ecurisë së programit të studimit, njësitë përgjegjëse konsultohen dhe marrin parasysh propozimet e bordit këshillimor, institucioneve partnere, të diplomuarve, dhe aktorëve të tjerë nga tregu i punës.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rPr>
              <w:t>Institucioni nxit dhe përfshin në diskutime studentët dhe strukturat e tyre, mban kontakte dhe konsultohet vazhdimisht me studentët e diplomuar, për përmirësimin e programit të studimit, dhe reflektimin kur ato janë në ndihmë të përmirësimit të programit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40759B">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422BF6" w:rsidRPr="00422BF6">
              <w:rPr>
                <w:rFonts w:ascii="Times New Roman" w:hAnsi="Times New Roman" w:cs="Times New Roman"/>
                <w:sz w:val="20"/>
                <w:szCs w:val="20"/>
                <w:lang w:val="sq-AL"/>
              </w:rPr>
              <w:t>Njësia përgjegjëse përmirëson, përditëson, përshtat dhe riorganizon programin e studimit në përputhje me propozimet dhe zhvillimet e fundit në fusha të ndryshme në bashkëpunim me bordin këshillimor të programit, rrjete profesionistësh dhe organizatat publike e private.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color w:val="000000" w:themeColor="text1"/>
                <w:lang w:val="sq-AL"/>
              </w:rPr>
              <w:t>Programi i studimit garanton orientim në fushën e studimeve dhe kërkimit shkencor</w:t>
            </w:r>
            <w:r>
              <w:rPr>
                <w:rFonts w:ascii="Times New Roman" w:eastAsia="Times New Roman" w:hAnsi="Times New Roman" w:cs="Times New Roman"/>
                <w:b/>
                <w:bCs/>
                <w:color w:val="000000" w:themeColor="text1"/>
                <w:lang w:val="sq-AL"/>
              </w:rPr>
              <w:t>.</w:t>
            </w:r>
          </w:p>
        </w:tc>
      </w:tr>
      <w:tr w:rsidR="00C1352C" w:rsidRPr="00A6411D" w:rsidTr="00716D9E">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Programi i studimit përcakton qartë prioritetet dhe objektivat kryesorë të studimit dhe kërkimit shkencor në përputhje me objektivat madhorë të institucionit.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kryesore/bazë nxit, bashkërendon dhe administron veprimtaritë e mësimdhënies, veprimtaritë kërkimore ose artistike, duke respektuar lirinë akademike të personelit akademik dhe fushën e veçantë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Programi i studimit mundëson, nxit dhe motivon studentët të angazhohen në studime, projekte dhe aktivitete kërkimore.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716D9E">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Për realizimin e aktiviteteve studimore, kërkimore e shkencore, njësia bazë mbështetet financiarisht nga institucioni dhe administron të ardhurat nga aktivitete të ndryshme.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Programi i studimit garanton njohuri të thelluara, ndërkombëtarizim dhe kërkim shkencor</w:t>
            </w:r>
            <w:r>
              <w:rPr>
                <w:rFonts w:ascii="Times New Roman" w:eastAsia="Times New Roman" w:hAnsi="Times New Roman" w:cs="Times New Roman"/>
                <w:b/>
                <w:bCs/>
                <w:lang w:val="sq-AL"/>
              </w:rPr>
              <w:t>.</w:t>
            </w:r>
          </w:p>
        </w:tc>
      </w:tr>
      <w:tr w:rsidR="00717ED9" w:rsidRPr="00A6411D" w:rsidTr="00716D9E">
        <w:trPr>
          <w:trHeight w:val="422"/>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2F7FBE">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1.</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përgjegjëse mbështet grupet lëndore dhe projektet kërkimore-shkencore të reja dhe siguron bashkëpunimin me struktura të tjera kërkimore për realizimin e objektivave të programit të studimit në kërkim shkencor.</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2.</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Njësia përgjegjëse angazhohet për t’iu përgjigjur kërkesave për analiza, studime e projekte me karakter kërkimor shkencor në nivel lokal, kombëtar apo rajonal, angazhon personelin akademik dhe studentët për realizimin e këtyre objektivave.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3.</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Në fushën e programit të studimit, njësia përgjegjëse organizon konferenca ose aktivitete, të cilat ndihmojnë personelin dhe studentët për arritjen e objektivave.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716D9E">
            <w:pPr>
              <w:spacing w:line="276" w:lineRule="auto"/>
              <w:rPr>
                <w:rFonts w:ascii="Times New Roman" w:hAnsi="Times New Roman" w:cs="Times New Roman"/>
                <w:sz w:val="20"/>
                <w:szCs w:val="20"/>
              </w:rPr>
            </w:pPr>
            <w:r w:rsidRPr="00CF3CE1">
              <w:rPr>
                <w:rFonts w:ascii="Times New Roman" w:hAnsi="Times New Roman" w:cs="Times New Roman"/>
                <w:b/>
                <w:sz w:val="20"/>
                <w:szCs w:val="20"/>
              </w:rPr>
              <w:t>Kriteri 4.</w:t>
            </w:r>
            <w:r w:rsidRPr="00DE4B81">
              <w:rPr>
                <w:rFonts w:ascii="Times New Roman" w:hAnsi="Times New Roman" w:cs="Times New Roman"/>
                <w:sz w:val="20"/>
                <w:szCs w:val="20"/>
              </w:rPr>
              <w:t xml:space="preserve"> </w:t>
            </w:r>
            <w:r w:rsidR="00CF3CE1" w:rsidRPr="00CF3CE1">
              <w:rPr>
                <w:rFonts w:ascii="Times New Roman" w:hAnsi="Times New Roman" w:cs="Times New Roman"/>
                <w:sz w:val="20"/>
                <w:szCs w:val="20"/>
              </w:rPr>
              <w:t xml:space="preserve">Programi i studimit formon profesionistë konkurrues për tregun kombëtar dhe ndërkombëtar të punës.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C1352C" w:rsidRPr="00A6411D" w:rsidTr="005E6F8E">
        <w:trPr>
          <w:trHeight w:val="315"/>
        </w:trPr>
        <w:tc>
          <w:tcPr>
            <w:tcW w:w="3083"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716D9E" w:rsidRDefault="00716D9E" w:rsidP="00C1352C">
      <w:pPr>
        <w:rPr>
          <w:rFonts w:ascii="Times New Roman" w:hAnsi="Times New Roman" w:cs="Times New Roman"/>
          <w:b/>
          <w:sz w:val="28"/>
          <w:szCs w:val="28"/>
        </w:rPr>
      </w:pPr>
    </w:p>
    <w:p w:rsidR="00716D9E" w:rsidRDefault="00716D9E" w:rsidP="00C1352C">
      <w:pPr>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5E3B1E" w:rsidP="00301624">
            <w:pPr>
              <w:spacing w:line="276" w:lineRule="auto"/>
              <w:jc w:val="both"/>
              <w:rPr>
                <w:rFonts w:ascii="Times New Roman" w:hAnsi="Times New Roman" w:cs="Times New Roman"/>
                <w:b/>
                <w:lang w:val="sq-AL"/>
              </w:rPr>
            </w:pPr>
            <w:r w:rsidRPr="005E3B1E">
              <w:rPr>
                <w:rFonts w:ascii="Times New Roman" w:eastAsia="Times New Roman" w:hAnsi="Times New Roman" w:cs="Times New Roman"/>
                <w:b/>
                <w:bCs/>
                <w:lang w:val="sq-AL"/>
              </w:rPr>
              <w:t>Institucioni i arsimit të lartë garanton procesin e të nxënit dhe aftësimin profesional e shkencor me metodat dhe praktikat më të mira, me në qendër studentin dhe që sigurojnë arritjen e rezultateve</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1.</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Format e mësimdhënies, mësimnxënies dhe transmetimit të dijeve e njohurive janë leksionet, seminaret, punët laboratorike, detyrat e kursit/esetë, projektet, orët praktike të parashikuara në syllabuset e lëndëve, orët e hapura dhe çdo formë tjetër e miratuar nga institucioni.</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2.</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Format dhe metodat e mësidhënies, garantojnë sigurimin e njohurive dhe zotërimin e metodave të avancuara të aftësimit profesional, që lidhen me fushën e studimeve dhe aplikimin e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3.</w:t>
            </w:r>
            <w:r w:rsidRPr="00301624">
              <w:rPr>
                <w:rFonts w:ascii="Times New Roman" w:hAnsi="Times New Roman" w:cs="Times New Roman"/>
                <w:sz w:val="20"/>
                <w:szCs w:val="20"/>
              </w:rPr>
              <w:t xml:space="preserve"> </w:t>
            </w:r>
            <w:r w:rsidR="005E3B1E" w:rsidRPr="005E3B1E">
              <w:rPr>
                <w:rFonts w:ascii="Times New Roman" w:hAnsi="Times New Roman" w:cs="Times New Roman"/>
                <w:sz w:val="20"/>
                <w:szCs w:val="20"/>
              </w:rPr>
              <w:t>Personeli akademik respekton dhe u përgjigjet larmisë dhe nevojave të studentëve, duke ofruar forma, mënyra, metoda e mundësi alternative të mësimdhënies e mësimnxënies.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64E68" w:rsidRPr="00264E68" w:rsidRDefault="00301624" w:rsidP="00264E68">
            <w:pPr>
              <w:spacing w:after="120"/>
              <w:rPr>
                <w:rFonts w:ascii="Times New Roman" w:hAnsi="Times New Roman" w:cs="Times New Roman"/>
                <w:sz w:val="20"/>
                <w:szCs w:val="20"/>
                <w:lang w:val="sq-AL"/>
              </w:rPr>
            </w:pPr>
            <w:r w:rsidRPr="00301624">
              <w:rPr>
                <w:rFonts w:ascii="Times New Roman" w:hAnsi="Times New Roman" w:cs="Times New Roman"/>
                <w:b/>
                <w:sz w:val="20"/>
                <w:szCs w:val="20"/>
              </w:rPr>
              <w:t>Kriteri 4.</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lang w:val="sq-AL"/>
              </w:rPr>
              <w:t xml:space="preserve">Personeli akademik i angazhuar në mësimdhënien në program është kompetent në shpjegimin e njohurive dhe koncepteve, përdor metoda të ndryshme të mësimdhënies interaktive dhe diskutime që kanë në qendër studentin, nxisin mendimin krijues dhe kritik të studentit, autonominë dhe përgjegjshmërinë në funksion të zgjidhjeve praktike. </w:t>
            </w:r>
          </w:p>
          <w:p w:rsidR="00BA509A" w:rsidRPr="00716D9E" w:rsidRDefault="00264E68" w:rsidP="00301624">
            <w:pPr>
              <w:spacing w:after="120"/>
              <w:rPr>
                <w:rFonts w:ascii="Times New Roman" w:hAnsi="Times New Roman" w:cs="Times New Roman"/>
                <w:sz w:val="20"/>
                <w:szCs w:val="20"/>
                <w:lang w:val="sq-AL"/>
              </w:rPr>
            </w:pPr>
            <w:r w:rsidRPr="00264E68">
              <w:rPr>
                <w:rFonts w:ascii="Times New Roman" w:hAnsi="Times New Roman" w:cs="Times New Roman"/>
                <w:sz w:val="20"/>
                <w:szCs w:val="20"/>
                <w:lang w:val="sq-AL"/>
              </w:rPr>
              <w:t>Në të njëjtën kohë siguron udhëheqjen, mbështetjen dhe ndërtimin e marrëdhënieve të respektit të nd</w:t>
            </w:r>
            <w:r w:rsidR="00716D9E">
              <w:rPr>
                <w:rFonts w:ascii="Times New Roman" w:hAnsi="Times New Roman" w:cs="Times New Roman"/>
                <w:sz w:val="20"/>
                <w:szCs w:val="20"/>
                <w:lang w:val="sq-AL"/>
              </w:rPr>
              <w:t>ërsjellë mes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716D9E">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5.</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rPr>
              <w:t>Institucioni mbështet personelin akademik në përmirësimin e kompetencave didaktike dhe në përputhje me rezultatet e pritshme të të nxënit.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6.</w:t>
            </w:r>
            <w:r w:rsidRPr="00301624">
              <w:rPr>
                <w:rFonts w:ascii="Times New Roman" w:hAnsi="Times New Roman" w:cs="Times New Roman"/>
                <w:sz w:val="20"/>
                <w:szCs w:val="20"/>
              </w:rPr>
              <w:t xml:space="preserve"> </w:t>
            </w:r>
            <w:r w:rsidR="00264E68" w:rsidRPr="00264E68">
              <w:rPr>
                <w:rFonts w:ascii="Times New Roman" w:hAnsi="Times New Roman" w:cs="Times New Roman"/>
                <w:sz w:val="20"/>
                <w:szCs w:val="20"/>
                <w:lang w:val="sq-AL"/>
              </w:rPr>
              <w:t>Institucioni organizon struktura/ njësi në nivel Programi dhe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dhe zbatimin e tyre.</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harton rregullore dhe procedura të posaçme të testimit e vlerësimit të njohurive, dijeve dhe aftësive profesionale dhe shkencore dhe garanton zbatimin e tyre</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8F0079" w:rsidRDefault="008F0079" w:rsidP="008F0079">
            <w:pPr>
              <w:spacing w:after="120"/>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 xml:space="preserve">Kriteret dhe mënyra e testimit e vlerësimit të njohurive, dijeve dhe aftësive profesionale përcaktohen në Rregulloren e programit të studimit/Rregulloren e Institucionit/ rregullore të posaçme, bëhen publike dhe njihen nga studentët.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Në fillim të çdo lënde/moduli studentët informohen me metodologjinë e testimit e vlerësimit të njohurive, dijeve dhe aftësive profesionale e shkencore të parashikuara në syllabuset e lëndëve/moduleve nga titullari i lëndës/modulit.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Testimi e vlerësimi i njohurive, dijeve dhe aftësive profesionale e shkencore realizohet në forma dhe mënyra të ndryshme, duke i dhënë mundësi studentit të demonstrojë njohuritë dhe kompetencat e fituara</w:t>
            </w:r>
            <w:r w:rsidR="00E636C2">
              <w:rPr>
                <w:rFonts w:ascii="Times New Roman" w:hAnsi="Times New Roman" w:cs="Times New Roman"/>
                <w:sz w:val="20"/>
                <w:szCs w:val="20"/>
                <w:lang w:val="sq-AL"/>
              </w:rPr>
              <w: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716D9E" w:rsidRDefault="00BA509A"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siguron vlerësim të drejtë dhe transparent, bazuar në meritën e çdo studenti duke përfshirë dhe procesin e ankimimit</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Testimi e vlerësimi i njohurive, dijeve shkencoredhe aftësive profesionale realizohet gjatë gjithë vitit akademik dhe reflektohet në vlerësimin përfundimtar, të parashikuara në syllabuset e lëndëve/moduleve nga titullari i lëndës/modulit.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8F0079">
            <w:pPr>
              <w:spacing w:after="120"/>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Institucioni vë në zbatim sisteme të vlerësimit, të cilat garantojnë nivel të lartë integriteti, etike dhe transparence.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Vlerësimi përfundimtar i lëndës përmban vlerësimin e vazhdueshëm në të cilin përfshihen komponentët e portofolit të detyrave/projekteve të studentit, etj, si dhe provimet e pjesshme dhe provimin përfundimtar.</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4.</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Vlerësimi i njohurive, dijeve shkencore dhe aftësive profesionale, shoqërohet me komente/feedback (nëse është i nevojshëm) dhe lidhet me këshilla mbi procesin e të nxënit për të ndihmuar studentin të përmirësohet në të ardhmen.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5.</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Njësitë përgjegjëse dhe personeli akademik shmangin/nuk lejojnë plagjiaturën, kopjimin në provime dhe detyra.</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6.</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Rezultatet e kontrollit të dijeve të dijeve shkencore dhe aftësive profesionale, bazohen në meritë dhe jepen në kohë sipas përcaktimeve në rregulloret përkatëse.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7.</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Institucioni garanton të drejtat e studentëve për t’u njohur me vlerësimin, kërkesën për rishikim të vlerësimit në përputhje me rregullat që përfshihen në statut, rregulloret dhe procedurat e vlerësimit.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716D9E">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8.</w:t>
            </w:r>
            <w:r w:rsidRPr="008F0079">
              <w:rPr>
                <w:rFonts w:ascii="Times New Roman" w:hAnsi="Times New Roman" w:cs="Times New Roman"/>
                <w:sz w:val="20"/>
                <w:szCs w:val="20"/>
              </w:rPr>
              <w:t xml:space="preserve"> </w:t>
            </w:r>
            <w:r w:rsidR="00E636C2" w:rsidRPr="00E636C2">
              <w:rPr>
                <w:rFonts w:ascii="Times New Roman" w:hAnsi="Times New Roman" w:cs="Times New Roman"/>
                <w:sz w:val="20"/>
                <w:szCs w:val="20"/>
                <w:lang w:val="sq-AL"/>
              </w:rPr>
              <w:t>Çdo kërkesë, ankimim, shqyrtohet nga komisioni i vlerësimit dhe nëse studenti mbetet i paqartë, vijohet me procedurën e parashikuar në rregulloren e programit të studimit. Procedura e ndjekur duhet të jetë transparente për palët e përfshira, dokumentohet dhe arkivohet.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716D9E" w:rsidRDefault="00B100A2"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ED3359" w:rsidP="00243BA4">
            <w:pPr>
              <w:rPr>
                <w:rFonts w:ascii="Times New Roman" w:hAnsi="Times New Roman" w:cs="Times New Roman"/>
                <w:b/>
                <w:color w:val="000000" w:themeColor="text1"/>
              </w:rPr>
            </w:pPr>
            <w:r w:rsidRPr="00ED3359">
              <w:rPr>
                <w:rFonts w:ascii="Times New Roman" w:eastAsia="Times New Roman" w:hAnsi="Times New Roman" w:cs="Times New Roman"/>
                <w:b/>
                <w:bCs/>
                <w:lang w:val="sq-AL"/>
              </w:rPr>
              <w:t>Programi i studimit garanton rritjen e aftësive krijuese e zbatuese dhe synon zhvillimin e thelluar të kompetencave profesionale e shkencore tek studentët</w:t>
            </w:r>
            <w:r>
              <w:rPr>
                <w:rFonts w:ascii="Times New Roman" w:eastAsia="Times New Roman" w:hAnsi="Times New Roman" w:cs="Times New Roman"/>
                <w:b/>
                <w:bCs/>
                <w:lang w:val="sq-AL"/>
              </w:rPr>
              <w:t>.</w:t>
            </w:r>
          </w:p>
        </w:tc>
      </w:tr>
      <w:tr w:rsidR="00C1352C" w:rsidRPr="00500475" w:rsidTr="00716D9E">
        <w:trPr>
          <w:trHeight w:val="413"/>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1.</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Programi i studimit duhet të garantojë thellimin e njohurive shkencore, të zhvillojë aftësitë profesionale, aftësitë për analizë kritike, vlerësim dhe sintezë të ideve të reja aplikative në fushën specifike të studimit</w:t>
            </w:r>
            <w:r w:rsidR="00ED3359">
              <w:rPr>
                <w:rFonts w:ascii="Times New Roman" w:hAnsi="Times New Roman" w:cs="Times New Roman"/>
                <w:sz w:val="20"/>
                <w:szCs w:val="20"/>
                <w:lang w:val="sq-AL"/>
              </w:rPr>
              <w: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2.</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Programi i studimit garanton zhvillimin e aftësive të veçanta komunikuese, ndërvepruese vendimmarrëse si dhe në fushën e teknologjisë së informacionit.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3.</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Kompetencat dhe aftësitë që fiton studenti, të paraqitura në programin e studimit dhe syllabuset e çdo lënde, analizohen e shqyrtohen në përfundim të lëndës. Personeli akademik vë në pah çështjet më të rëndësishme dhe orienton studentët për zbatimin e tyre dhe provimin përfundimtar i lëndës.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716D9E">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4.</w:t>
            </w:r>
            <w:r w:rsidRPr="00C1514A">
              <w:rPr>
                <w:rFonts w:ascii="Times New Roman" w:hAnsi="Times New Roman" w:cs="Times New Roman"/>
                <w:sz w:val="20"/>
                <w:szCs w:val="20"/>
              </w:rPr>
              <w:t xml:space="preserve"> </w:t>
            </w:r>
            <w:r w:rsidR="00ED3359" w:rsidRPr="00ED3359">
              <w:rPr>
                <w:rFonts w:ascii="Times New Roman" w:hAnsi="Times New Roman" w:cs="Times New Roman"/>
                <w:sz w:val="20"/>
                <w:szCs w:val="20"/>
                <w:lang w:val="sq-AL"/>
              </w:rPr>
              <w:t>Mësimdhënia realizohet mbi bazë kompetencash me karakter dhe orientim të theksuar praktik, me qëllim avancimin e mëtejshëm profesional të studentëve dhe iu jep mundësi studentëve, të zhvillojnë njohuritë e marra në laborator dhe në orët praktike</w:t>
            </w:r>
            <w:r w:rsidR="00ED3359">
              <w:rPr>
                <w:rFonts w:ascii="Times New Roman" w:hAnsi="Times New Roman" w:cs="Times New Roman"/>
                <w:sz w:val="20"/>
                <w:szCs w:val="20"/>
                <w:lang w:val="sq-AL"/>
              </w:rPr>
              <w: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C1514A">
            <w:pPr>
              <w:spacing w:after="120"/>
              <w:rPr>
                <w:rFonts w:ascii="Times New Roman" w:hAnsi="Times New Roman" w:cs="Times New Roman"/>
                <w:sz w:val="20"/>
                <w:szCs w:val="20"/>
              </w:rPr>
            </w:pPr>
            <w:r w:rsidRPr="00C1514A">
              <w:rPr>
                <w:rFonts w:ascii="Times New Roman" w:hAnsi="Times New Roman" w:cs="Times New Roman"/>
                <w:b/>
                <w:sz w:val="20"/>
                <w:szCs w:val="20"/>
              </w:rPr>
              <w:t>Kriteri 5.</w:t>
            </w:r>
            <w:r w:rsidRPr="00C1514A">
              <w:rPr>
                <w:rFonts w:ascii="Times New Roman" w:hAnsi="Times New Roman" w:cs="Times New Roman"/>
                <w:sz w:val="20"/>
                <w:szCs w:val="20"/>
              </w:rPr>
              <w:t xml:space="preserve"> </w:t>
            </w:r>
            <w:r w:rsidR="005C268F" w:rsidRPr="005C268F">
              <w:rPr>
                <w:rFonts w:ascii="Times New Roman" w:hAnsi="Times New Roman" w:cs="Times New Roman"/>
                <w:sz w:val="20"/>
                <w:szCs w:val="20"/>
                <w:lang w:val="sq-AL"/>
              </w:rPr>
              <w:t>Personeli akademik mbështet diskutimet dhe punën në grup në interpretimin dhe zgjidhjen e problemeve/çështjeve të caktuara; krijon klimë të përshtatshme për zhvillimin e ideve inovative, studime të avancuara kërkimore - shkencore dhe aplikative dhe i mbështet ato; ndërthur format e mësimdhënies me institucionet bashkëpunuese për të mundësuar mobilitetin e studentëve si dhe krijuar oportunitete te reja për punësimin dhe karrierën e tyre profesionale.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C268F" w:rsidRPr="005C268F" w:rsidRDefault="00C1514A" w:rsidP="00C1514A">
            <w:pPr>
              <w:spacing w:after="120"/>
              <w:rPr>
                <w:rFonts w:ascii="Times New Roman" w:hAnsi="Times New Roman" w:cs="Times New Roman"/>
                <w:sz w:val="20"/>
                <w:szCs w:val="20"/>
                <w:lang w:val="sq-AL"/>
              </w:rPr>
            </w:pPr>
            <w:r w:rsidRPr="00C1514A">
              <w:rPr>
                <w:rFonts w:ascii="Times New Roman" w:hAnsi="Times New Roman" w:cs="Times New Roman"/>
                <w:b/>
                <w:sz w:val="20"/>
                <w:szCs w:val="20"/>
              </w:rPr>
              <w:t>Kriteri 6.</w:t>
            </w:r>
            <w:r w:rsidRPr="00C1514A">
              <w:rPr>
                <w:rFonts w:ascii="Times New Roman" w:hAnsi="Times New Roman" w:cs="Times New Roman"/>
                <w:sz w:val="20"/>
                <w:szCs w:val="20"/>
              </w:rPr>
              <w:t xml:space="preserve"> </w:t>
            </w:r>
            <w:r w:rsidR="005C268F" w:rsidRPr="005C268F">
              <w:rPr>
                <w:rFonts w:ascii="Times New Roman" w:hAnsi="Times New Roman" w:cs="Times New Roman"/>
                <w:sz w:val="20"/>
                <w:szCs w:val="20"/>
                <w:lang w:val="sq-AL"/>
              </w:rPr>
              <w:t>Personeli akademik efektiv dhe me kontratë realizon orë të hapura dhe seminare mbi zhvillime të reja të shkencës dhe teknologjisë, në kuadër të veprimtarive ekstra kurrikulare të lidhura me programin e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C268F" w:rsidRPr="00500475" w:rsidTr="00C1514A">
        <w:tc>
          <w:tcPr>
            <w:tcW w:w="3204" w:type="dxa"/>
          </w:tcPr>
          <w:p w:rsidR="005C268F" w:rsidRPr="00716D9E" w:rsidRDefault="005C268F" w:rsidP="00C1514A">
            <w:pPr>
              <w:spacing w:after="120"/>
              <w:rPr>
                <w:rFonts w:ascii="Times New Roman" w:hAnsi="Times New Roman" w:cs="Times New Roman"/>
                <w:sz w:val="20"/>
                <w:szCs w:val="20"/>
                <w:lang w:val="sq-AL"/>
              </w:rPr>
            </w:pPr>
            <w:r w:rsidRPr="005C268F">
              <w:rPr>
                <w:rFonts w:ascii="Times New Roman" w:hAnsi="Times New Roman" w:cs="Times New Roman"/>
                <w:b/>
                <w:sz w:val="20"/>
                <w:szCs w:val="20"/>
                <w:lang w:val="sq-AL"/>
              </w:rPr>
              <w:t>Kriteri 7.</w:t>
            </w:r>
            <w:r w:rsidRPr="005C268F">
              <w:rPr>
                <w:rFonts w:ascii="Times New Roman" w:hAnsi="Times New Roman" w:cs="Times New Roman"/>
                <w:sz w:val="20"/>
                <w:szCs w:val="20"/>
                <w:lang w:val="sq-AL"/>
              </w:rPr>
              <w:t xml:space="preserve"> Institucioni nxit zhvillimin e ideve inovative, studime të përparuara kërkimore nga studentët dhe i mbështet financia</w:t>
            </w:r>
            <w:r w:rsidR="00716D9E">
              <w:rPr>
                <w:rFonts w:ascii="Times New Roman" w:hAnsi="Times New Roman" w:cs="Times New Roman"/>
                <w:sz w:val="20"/>
                <w:szCs w:val="20"/>
                <w:lang w:val="sq-AL"/>
              </w:rPr>
              <w:t>risht ato.</w:t>
            </w:r>
          </w:p>
        </w:tc>
        <w:tc>
          <w:tcPr>
            <w:tcW w:w="6516" w:type="dxa"/>
            <w:gridSpan w:val="4"/>
          </w:tcPr>
          <w:p w:rsidR="005C268F" w:rsidRPr="00500475" w:rsidRDefault="005C268F"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C1514A" w:rsidP="00BA509A">
            <w:pPr>
              <w:jc w:val="both"/>
              <w:rPr>
                <w:rFonts w:ascii="Times New Roman" w:hAnsi="Times New Roman" w:cs="Times New Roman"/>
                <w:b/>
                <w:lang w:val="sq-AL"/>
              </w:rPr>
            </w:pPr>
            <w:r w:rsidRPr="00C1514A">
              <w:rPr>
                <w:rFonts w:ascii="Times New Roman" w:hAnsi="Times New Roman" w:cs="Times New Roman"/>
                <w:b/>
                <w:lang w:val="sq-AL"/>
              </w:rPr>
              <w:t>Institucioni ndjek një procedurë të qartë të detyrimeve përmbyllëse të studentit në programin e studimit dhe e përgatit atë me dokumentacionin e nevojshëm</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2F7FBE">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1.</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harton procedurë të posaçme për për detyrimet përmbyllëse, para realizimit të tyre dhe i bën ato publike.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2.</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Strukturat përgjegjëse dhe personeli akademik asistojnë studentët, duke vënë në dispozicion informacione, udhëzime dhe materialet e nevojshme, në funksion të realizimit të detyrimeve përmbyllëse.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3.</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Udhëheqësi i punimit të diplomës asiston studentin në orientimin metodologjik, në respektimin e kritereve të shkrimit akademik, ruajtjen e integritetit etik në kërkim, sipas udhëzuesve të miratuar. Ai garanton cilësinë e rezultateve dhe miraton ose jo, nëse punimi është i plotë për t’u paraqitur para komisionit.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4.</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asiston studentët për kryerjen e matjeve, analizave, testeve në mjediset e institucionit apo jashtë tij, në bazë të temave dhe fushës së studimit.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5.</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Në përfundim të studimeve, studenti pajiset me diplomën dhe suplementin e diplomës, të miratuara nga ministria përgjegjëse për arsimin. Në përfundim të studimeve, studentit i vihet në dispozicion kopje e plotë zyrtare e programit të studimit të zhvilluar.</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716D9E">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6.</w:t>
            </w:r>
            <w:r w:rsidRPr="002C6BC8">
              <w:rPr>
                <w:rFonts w:ascii="Times New Roman" w:hAnsi="Times New Roman" w:cs="Times New Roman"/>
                <w:sz w:val="20"/>
                <w:szCs w:val="20"/>
              </w:rPr>
              <w:t xml:space="preserve"> </w:t>
            </w:r>
            <w:r w:rsidR="00515D52" w:rsidRPr="00515D52">
              <w:rPr>
                <w:rFonts w:ascii="Times New Roman" w:hAnsi="Times New Roman" w:cs="Times New Roman"/>
                <w:sz w:val="20"/>
                <w:szCs w:val="20"/>
                <w:lang w:val="sq-AL"/>
              </w:rPr>
              <w:t>Institucioni ruan në përputhje me legjislacionin në fuqi, kopje të dokumentacionit të studentit dhe paraqet rast pas rasti informacione për studentin, nëse kërkohen.</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716D9E">
        <w:trPr>
          <w:trHeight w:val="368"/>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DB266E" w:rsidRDefault="00DB266E" w:rsidP="00C1352C">
      <w:pPr>
        <w:rPr>
          <w:rFonts w:ascii="Times New Roman" w:hAnsi="Times New Roman" w:cs="Times New Roman"/>
          <w:b/>
          <w:sz w:val="28"/>
          <w:szCs w:val="28"/>
        </w:rPr>
      </w:pPr>
    </w:p>
    <w:p w:rsidR="00FF19CD" w:rsidRDefault="00FF19CD" w:rsidP="00C1352C">
      <w:pPr>
        <w:rPr>
          <w:rFonts w:ascii="Times New Roman" w:hAnsi="Times New Roman" w:cs="Times New Roman"/>
          <w:b/>
          <w:sz w:val="28"/>
          <w:szCs w:val="28"/>
        </w:rPr>
      </w:pPr>
    </w:p>
    <w:p w:rsidR="00301624" w:rsidRDefault="00301624" w:rsidP="00C1352C">
      <w:pPr>
        <w:rPr>
          <w:rFonts w:ascii="Times New Roman" w:hAnsi="Times New Roman" w:cs="Times New Roman"/>
          <w:b/>
          <w:sz w:val="28"/>
          <w:szCs w:val="28"/>
        </w:rPr>
      </w:pPr>
    </w:p>
    <w:p w:rsidR="00C1352C" w:rsidRPr="00BF43FB" w:rsidRDefault="00C1352C"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762EA3" w:rsidP="00243BA4">
            <w:pPr>
              <w:spacing w:line="276" w:lineRule="auto"/>
              <w:jc w:val="both"/>
              <w:rPr>
                <w:rFonts w:ascii="Times New Roman" w:hAnsi="Times New Roman" w:cs="Times New Roman"/>
                <w:b/>
              </w:rPr>
            </w:pPr>
            <w:r w:rsidRPr="00762EA3">
              <w:rPr>
                <w:rFonts w:ascii="Times New Roman" w:eastAsia="Times New Roman" w:hAnsi="Times New Roman" w:cs="Times New Roman"/>
                <w:b/>
                <w:bCs/>
                <w:lang w:val="sq-AL"/>
              </w:rPr>
              <w:t>Institucioni i arsimit të lartë ndjek procedura ligjore dhe transparente të rekrutimit, vlerësimit dhe përzgjedhjes së personelit dhe ka përgjegjësinë primare për cilësinë e personelit që mbulon programin e studimit</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harton dhe zbaton procedura për rekrutimin e personelit akademik, në përputhje me bazën ligjore në fuqi dhe aktet e brendshme rregullatore të institucionit dhe i bën ato publike</w:t>
            </w:r>
            <w:r w:rsidR="00762EA3">
              <w:rPr>
                <w:rFonts w:ascii="Times New Roman" w:hAnsi="Times New Roman" w:cs="Times New Roman"/>
                <w:sz w:val="20"/>
                <w:szCs w:val="20"/>
                <w:lang w:val="sq-AL"/>
              </w:rPr>
              <w: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angazhohet për krijimin e mjedisit dhe mundësive të përshtatshme dhe të barabarta për kryerjen e detyrave të personelit në mënyrë profesionale.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716D9E">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w:t>
            </w:r>
            <w:r w:rsidR="00762EA3" w:rsidRPr="00762EA3">
              <w:rPr>
                <w:rFonts w:ascii="Times New Roman" w:hAnsi="Times New Roman" w:cs="Times New Roman"/>
                <w:sz w:val="20"/>
                <w:szCs w:val="20"/>
                <w:lang w:val="sq-AL"/>
              </w:rPr>
              <w:t>Institucioni angazhohet për kualifikimin e vazhdueshëm dhe zhvillimin e mëtejshëm profesional të personelit që mbulon dhe administron programin e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Institucioni organizon programe specifike për metodat inovative të mësimdhënies e përdorimit të teknologjive të reja, për kualifikimin e mëtejshëm profesional të personelit akademik e të personelit mësimor-shkencor.</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716D9E" w:rsidRDefault="00FF19CD" w:rsidP="00716D9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A36075" w:rsidP="00243BA4">
            <w:pPr>
              <w:spacing w:line="276" w:lineRule="auto"/>
              <w:jc w:val="both"/>
              <w:rPr>
                <w:rFonts w:ascii="Times New Roman" w:hAnsi="Times New Roman" w:cs="Times New Roman"/>
                <w:b/>
              </w:rPr>
            </w:pPr>
            <w:r w:rsidRPr="00A36075">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C1352C" w:rsidRPr="00A962CD" w:rsidTr="003A469E">
        <w:trPr>
          <w:trHeight w:val="359"/>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485647" w:rsidRDefault="00485647" w:rsidP="00485647">
            <w:pPr>
              <w:spacing w:after="120"/>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Personeli akademik efektiv dhe me kontratë, që angazhohet në realizimin e programit të studimit, është i kategorisë “Profesor”.</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A36075">
            <w:pPr>
              <w:spacing w:after="120"/>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w:t>
            </w:r>
            <w:r w:rsidR="00A36075" w:rsidRPr="00A36075">
              <w:rPr>
                <w:rFonts w:ascii="Times New Roman" w:hAnsi="Times New Roman" w:cs="Times New Roman"/>
                <w:sz w:val="20"/>
                <w:szCs w:val="20"/>
                <w:lang w:val="sq-AL"/>
              </w:rPr>
              <w:t>Fusha akademike-kërkimore e përgjithshme dhe specifike e anëtarëve të personelit akademik, që mbulon programin e studimit, është në përputhje me fushën e programit të studimit, natyrën dhe specifikën e moduleve të tij.</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F749D9">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dëshmon një angazhim optimal të burimeve njerëzore për përmbushjen e objektivave të programit të studimeve. Personeli akademik efektiv duhet të mbulojë ngarkesën mësimore për programin e studimit në përputhje me kornizën ligjore në fuqi.</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F749D9">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duhet të garantojë dhe të dëshmojë qëndrueshmërinë e personelit akademik të angazhuar në programin e studimit, për të gjithë periudhën e akreditimit, duke përfshirë kontratat e punësimit dhe mbulimin me sigurime shoqërore dhe shëndetësore.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w:t>
            </w:r>
            <w:r w:rsidR="00A62943" w:rsidRPr="00A62943">
              <w:rPr>
                <w:rFonts w:ascii="Times New Roman" w:hAnsi="Times New Roman" w:cs="Times New Roman"/>
                <w:sz w:val="20"/>
                <w:szCs w:val="20"/>
                <w:lang w:val="sq-AL"/>
              </w:rPr>
              <w:t>Institucioni siguron dhe garanton angazhimin e personelit ndihmës akademik të përshtatshëm dhe të mjaftueshëm për realizimin e orëve laboratorike dhe për mirëmbajtjen e laboratorëve e mjediseve të tjera mësimore, sipas natyrës specifike të programit të studimit.</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A62943" w:rsidRDefault="00A62943" w:rsidP="00485647">
            <w:pPr>
              <w:spacing w:line="276" w:lineRule="auto"/>
              <w:rPr>
                <w:rFonts w:ascii="Times New Roman" w:hAnsi="Times New Roman" w:cs="Times New Roman"/>
                <w:sz w:val="20"/>
                <w:szCs w:val="20"/>
              </w:rPr>
            </w:pPr>
            <w:r w:rsidRPr="00A62943">
              <w:rPr>
                <w:rFonts w:ascii="Times New Roman" w:hAnsi="Times New Roman" w:cs="Times New Roman"/>
                <w:b/>
                <w:sz w:val="20"/>
                <w:szCs w:val="20"/>
              </w:rPr>
              <w:t>Kriteri 6.</w:t>
            </w:r>
            <w:r w:rsidRPr="00A62943">
              <w:rPr>
                <w:rFonts w:ascii="Times New Roman" w:hAnsi="Times New Roman" w:cs="Times New Roman"/>
                <w:sz w:val="20"/>
                <w:szCs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F749D9" w:rsidRDefault="00A62943" w:rsidP="00485647">
            <w:pPr>
              <w:spacing w:line="276" w:lineRule="auto"/>
              <w:rPr>
                <w:rFonts w:ascii="Times New Roman" w:hAnsi="Times New Roman" w:cs="Times New Roman"/>
                <w:sz w:val="20"/>
                <w:szCs w:val="20"/>
                <w:lang w:val="sq-AL"/>
              </w:rPr>
            </w:pPr>
            <w:r w:rsidRPr="00A62943">
              <w:rPr>
                <w:rFonts w:ascii="Times New Roman" w:hAnsi="Times New Roman" w:cs="Times New Roman"/>
                <w:b/>
                <w:sz w:val="20"/>
                <w:szCs w:val="20"/>
                <w:lang w:val="sq-AL"/>
              </w:rPr>
              <w:t>Kriteri 7.</w:t>
            </w:r>
            <w:r w:rsidRPr="00A62943">
              <w:rPr>
                <w:rFonts w:ascii="Times New Roman" w:hAnsi="Times New Roman" w:cs="Times New Roman"/>
                <w:sz w:val="20"/>
                <w:szCs w:val="20"/>
                <w:lang w:val="sq-AL"/>
              </w:rPr>
              <w:t xml:space="preserve"> IAL harton si rregull marrëveshje bashkëpunimi me institucionet/organizatat e punësimit të studentëve të cilat i mundësojnë atyre realizimi</w:t>
            </w:r>
            <w:r w:rsidR="00F749D9">
              <w:rPr>
                <w:rFonts w:ascii="Times New Roman" w:hAnsi="Times New Roman" w:cs="Times New Roman"/>
                <w:sz w:val="20"/>
                <w:szCs w:val="20"/>
                <w:lang w:val="sq-AL"/>
              </w:rPr>
              <w:t>n e orëve praktike të moduleve.</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A62943" w:rsidRPr="00A962CD" w:rsidTr="00A962CD">
        <w:tc>
          <w:tcPr>
            <w:tcW w:w="3190" w:type="dxa"/>
          </w:tcPr>
          <w:p w:rsidR="00A62943" w:rsidRPr="00F749D9" w:rsidRDefault="00A62943" w:rsidP="00485647">
            <w:pPr>
              <w:spacing w:line="276" w:lineRule="auto"/>
              <w:rPr>
                <w:rFonts w:ascii="Times New Roman" w:hAnsi="Times New Roman" w:cs="Times New Roman"/>
                <w:sz w:val="20"/>
                <w:szCs w:val="20"/>
                <w:lang w:val="sq-AL"/>
              </w:rPr>
            </w:pPr>
            <w:r w:rsidRPr="00A62943">
              <w:rPr>
                <w:rFonts w:ascii="Times New Roman" w:hAnsi="Times New Roman" w:cs="Times New Roman"/>
                <w:b/>
                <w:sz w:val="20"/>
                <w:szCs w:val="20"/>
                <w:lang w:val="sq-AL"/>
              </w:rPr>
              <w:t>Kriteri 8.</w:t>
            </w:r>
            <w:r w:rsidRPr="00A62943">
              <w:rPr>
                <w:rFonts w:ascii="Times New Roman" w:hAnsi="Times New Roman" w:cs="Times New Roman"/>
                <w:sz w:val="20"/>
                <w:szCs w:val="20"/>
                <w:lang w:val="sq-AL"/>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orët praktike të moduleve, punimin e diplomës dhe veprimtari të tjera specifike sipas nat</w:t>
            </w:r>
            <w:r w:rsidR="00F749D9">
              <w:rPr>
                <w:rFonts w:ascii="Times New Roman" w:hAnsi="Times New Roman" w:cs="Times New Roman"/>
                <w:sz w:val="20"/>
                <w:szCs w:val="20"/>
                <w:lang w:val="sq-AL"/>
              </w:rPr>
              <w:t xml:space="preserve">yrës së programit të studimit. </w:t>
            </w:r>
          </w:p>
        </w:tc>
        <w:tc>
          <w:tcPr>
            <w:tcW w:w="6530" w:type="dxa"/>
            <w:gridSpan w:val="4"/>
          </w:tcPr>
          <w:p w:rsidR="00A62943" w:rsidRPr="00A962CD" w:rsidRDefault="00A62943"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F749D9">
        <w:tc>
          <w:tcPr>
            <w:tcW w:w="9720" w:type="dxa"/>
            <w:gridSpan w:val="5"/>
            <w:shd w:val="clear" w:color="auto" w:fill="F7CAAC" w:themeFill="accent2" w:themeFillTint="66"/>
          </w:tcPr>
          <w:p w:rsidR="00C1352C" w:rsidRPr="00A962CD" w:rsidRDefault="00C1352C" w:rsidP="00F24427">
            <w:pPr>
              <w:tabs>
                <w:tab w:val="left" w:pos="720"/>
                <w:tab w:val="left" w:pos="1440"/>
                <w:tab w:val="left" w:pos="2160"/>
                <w:tab w:val="left" w:pos="4215"/>
              </w:tabs>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IV.3 </w:t>
            </w:r>
            <w:r w:rsidRPr="00A962CD">
              <w:rPr>
                <w:rFonts w:ascii="Times New Roman" w:hAnsi="Times New Roman" w:cs="Times New Roman"/>
                <w:b/>
                <w:lang w:val="sq-AL"/>
              </w:rPr>
              <w:tab/>
            </w:r>
            <w:r w:rsidR="00F24427">
              <w:rPr>
                <w:rFonts w:ascii="Times New Roman" w:hAnsi="Times New Roman" w:cs="Times New Roman"/>
                <w:b/>
                <w:lang w:val="sq-AL"/>
              </w:rPr>
              <w:tab/>
            </w:r>
          </w:p>
          <w:p w:rsidR="00C1352C" w:rsidRPr="00A962CD" w:rsidRDefault="00F24427" w:rsidP="00FD7FDC">
            <w:pPr>
              <w:spacing w:line="276" w:lineRule="auto"/>
              <w:jc w:val="both"/>
              <w:rPr>
                <w:rFonts w:ascii="Times New Roman" w:hAnsi="Times New Roman" w:cs="Times New Roman"/>
                <w:b/>
              </w:rPr>
            </w:pPr>
            <w:r w:rsidRPr="00F24427">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C1352C" w:rsidRPr="00A962CD" w:rsidTr="00F749D9">
        <w:trPr>
          <w:trHeight w:val="386"/>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1.</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rPr>
              <w:t>Institucioni siguron mjediset e mjaftueshme dhe të përshtatshme për zhvillimin e veprimtarisë mësimore, në varësi të numrit të studentëve, grupeve mësimore, në përputhje me natyrën specifike të programit të studimit dhe moduleve përkatëse.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2.</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rPr>
              <w:t>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3.</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4.</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Institucioni i arsimit të lartë siguron së paku një laborator të teknologjisë së informacionit, të pajisur me programe profesionale sipas natyrës së programit të studimit që ofron.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966AB1" w:rsidRDefault="00966AB1" w:rsidP="00F749D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5.</w:t>
            </w:r>
            <w:r w:rsidRPr="00966AB1">
              <w:rPr>
                <w:rFonts w:ascii="Times New Roman" w:hAnsi="Times New Roman" w:cs="Times New Roman"/>
                <w:sz w:val="20"/>
                <w:szCs w:val="20"/>
              </w:rPr>
              <w:t xml:space="preserve"> </w:t>
            </w:r>
            <w:r w:rsidR="00F24427" w:rsidRPr="00F24427">
              <w:rPr>
                <w:rFonts w:ascii="Times New Roman" w:hAnsi="Times New Roman" w:cs="Times New Roman"/>
                <w:sz w:val="20"/>
                <w:szCs w:val="20"/>
                <w:lang w:val="sq-AL"/>
              </w:rPr>
              <w:t>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sipas lëndëve / moduleve dhe veprimtarive të tjera praktike. Në rastet e programeve të studimit në fushën mjekësore, institucioni duhet të sigurojë strukturat spitalore dhe ambulatore me kapacitetet e nevojshme.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F749D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22"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598"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F749D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 xml:space="preserve">Standardi IV.4   </w:t>
            </w:r>
          </w:p>
          <w:p w:rsidR="00842D66" w:rsidRPr="00F24427" w:rsidRDefault="00F24427" w:rsidP="00243BA4">
            <w:pPr>
              <w:jc w:val="both"/>
              <w:rPr>
                <w:rFonts w:ascii="Times New Roman" w:eastAsia="Times New Roman" w:hAnsi="Times New Roman" w:cs="Times New Roman"/>
                <w:b/>
                <w:bCs/>
                <w:lang w:val="sq-AL"/>
              </w:rPr>
            </w:pPr>
            <w:r w:rsidRPr="00F24427">
              <w:rPr>
                <w:rFonts w:ascii="Times New Roman" w:eastAsia="Times New Roman" w:hAnsi="Times New Roman" w:cs="Times New Roman"/>
                <w:b/>
                <w:bCs/>
                <w:lang w:val="sq-AL"/>
              </w:rPr>
              <w:t>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C1352C" w:rsidRPr="00A962CD" w:rsidTr="00F749D9">
        <w:trPr>
          <w:trHeight w:val="413"/>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1.</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Literatura bazë dhe ndihmëse e vënë në dispozicion të studentëve në gjuhën e programit të studimit (fizike dhe digjitale) garanton marrjen e dijeve dhe njohurive të nevojshme, të parashikuara në programin e studimit (dokumentuar sipas stilit APA si në syllabuse, dhe në jetëshkrimet e personelit akademik).</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2.</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Njësia përgjegjëse duhet të raportojë përditësime të literaturës me botime të viteve të fundit.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3.</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Institucioni vë në dispozicion të studentëve bibliotekën mësimore, duke garantuar mundësinë e shfrytëzimit në mënyrë të barabartë nga studentët e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4.</w:t>
            </w:r>
            <w:r w:rsidRPr="000C68BB">
              <w:rPr>
                <w:rFonts w:ascii="Times New Roman" w:hAnsi="Times New Roman" w:cs="Times New Roman"/>
                <w:sz w:val="20"/>
                <w:szCs w:val="20"/>
              </w:rPr>
              <w:t xml:space="preserve"> </w:t>
            </w:r>
            <w:r w:rsidR="00842D66" w:rsidRPr="00842D66">
              <w:rPr>
                <w:rFonts w:ascii="Times New Roman" w:hAnsi="Times New Roman" w:cs="Times New Roman"/>
                <w:sz w:val="20"/>
                <w:szCs w:val="20"/>
                <w:lang w:val="sq-AL"/>
              </w:rPr>
              <w:t>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5.</w:t>
            </w:r>
            <w:r w:rsidRPr="000C68BB">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Institucioni duhet të krijojë kushte për shfrytëzim të barabartë e pa pagesë për studentët në bibliotekat online të fushës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50" w:type="dxa"/>
          </w:tcPr>
          <w:p w:rsidR="009D5FF6" w:rsidRPr="000C68BB" w:rsidRDefault="000C68BB" w:rsidP="00F749D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6.</w:t>
            </w:r>
            <w:r w:rsidRPr="000C68BB">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Biblioteka duhet të jetë e pajisur me programe kompjuterike dhe pajisje të tjera teknike, që mundësojnë shfrytëzimin pa kufizim për të gjithë studentëve.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113F" w:rsidRPr="00A962CD" w:rsidTr="00F749D9">
        <w:tc>
          <w:tcPr>
            <w:tcW w:w="3150" w:type="dxa"/>
          </w:tcPr>
          <w:p w:rsidR="00C1113F" w:rsidRPr="00C1113F" w:rsidRDefault="00C1113F" w:rsidP="000C68BB">
            <w:pPr>
              <w:spacing w:line="276" w:lineRule="auto"/>
              <w:rPr>
                <w:rFonts w:ascii="Times New Roman" w:hAnsi="Times New Roman" w:cs="Times New Roman"/>
                <w:sz w:val="20"/>
                <w:szCs w:val="20"/>
              </w:rPr>
            </w:pPr>
            <w:r w:rsidRPr="00C1113F">
              <w:rPr>
                <w:rFonts w:ascii="Times New Roman" w:hAnsi="Times New Roman" w:cs="Times New Roman"/>
                <w:b/>
                <w:sz w:val="20"/>
                <w:szCs w:val="20"/>
              </w:rPr>
              <w:t>Kriteri 7.</w:t>
            </w:r>
            <w:r w:rsidRPr="00C1113F">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113F" w:rsidRPr="00A962CD" w:rsidTr="00F749D9">
        <w:tc>
          <w:tcPr>
            <w:tcW w:w="3150" w:type="dxa"/>
          </w:tcPr>
          <w:p w:rsidR="00C1113F" w:rsidRPr="00F749D9" w:rsidRDefault="00C1113F" w:rsidP="000C68BB">
            <w:pPr>
              <w:spacing w:line="276" w:lineRule="auto"/>
              <w:rPr>
                <w:rFonts w:ascii="Times New Roman" w:hAnsi="Times New Roman" w:cs="Times New Roman"/>
                <w:sz w:val="20"/>
                <w:szCs w:val="20"/>
                <w:lang w:val="sq-AL"/>
              </w:rPr>
            </w:pPr>
            <w:r w:rsidRPr="00C1113F">
              <w:rPr>
                <w:rFonts w:ascii="Times New Roman" w:hAnsi="Times New Roman" w:cs="Times New Roman"/>
                <w:b/>
                <w:sz w:val="20"/>
                <w:szCs w:val="20"/>
                <w:lang w:val="sq-AL"/>
              </w:rPr>
              <w:t>Kriteri 8.</w:t>
            </w:r>
            <w:r w:rsidRPr="00C1113F">
              <w:rPr>
                <w:rFonts w:ascii="Times New Roman" w:hAnsi="Times New Roman" w:cs="Times New Roman"/>
                <w:sz w:val="20"/>
                <w:szCs w:val="20"/>
                <w:lang w:val="sq-AL"/>
              </w:rPr>
              <w:t xml:space="preserve"> 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F749D9">
              <w:rPr>
                <w:rFonts w:ascii="Times New Roman" w:hAnsi="Times New Roman" w:cs="Times New Roman"/>
                <w:sz w:val="20"/>
                <w:szCs w:val="20"/>
                <w:lang w:val="sq-AL"/>
              </w:rPr>
              <w:t>ormancën e personelit akademik.</w:t>
            </w:r>
          </w:p>
        </w:tc>
        <w:tc>
          <w:tcPr>
            <w:tcW w:w="6570" w:type="dxa"/>
            <w:gridSpan w:val="4"/>
          </w:tcPr>
          <w:p w:rsidR="00C1113F" w:rsidRPr="00A962CD" w:rsidRDefault="00C1113F" w:rsidP="00243BA4">
            <w:pPr>
              <w:spacing w:line="276" w:lineRule="auto"/>
              <w:jc w:val="both"/>
              <w:rPr>
                <w:rFonts w:ascii="Times New Roman" w:hAnsi="Times New Roman" w:cs="Times New Roman"/>
                <w:b/>
              </w:rPr>
            </w:pPr>
          </w:p>
        </w:tc>
      </w:tr>
      <w:tr w:rsidR="00C1352C" w:rsidRPr="00A962CD" w:rsidTr="00F749D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F749D9" w:rsidRDefault="00FF19CD" w:rsidP="00F749D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F749D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Standardi IV.5</w:t>
            </w:r>
          </w:p>
          <w:p w:rsidR="00C1352C" w:rsidRPr="00A962CD" w:rsidRDefault="00C1113F" w:rsidP="009D5FF6">
            <w:pPr>
              <w:jc w:val="both"/>
              <w:rPr>
                <w:rFonts w:ascii="Times New Roman" w:eastAsia="Times New Roman" w:hAnsi="Times New Roman" w:cs="Times New Roman"/>
                <w:b/>
                <w:color w:val="000000" w:themeColor="text1"/>
                <w:lang w:val="sq-AL"/>
              </w:rPr>
            </w:pPr>
            <w:r w:rsidRPr="00C1113F">
              <w:rPr>
                <w:rFonts w:ascii="Times New Roman" w:eastAsia="Times New Roman" w:hAnsi="Times New Roman" w:cs="Times New Roman"/>
                <w:b/>
                <w:bCs/>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lang w:val="sq-AL"/>
              </w:rPr>
              <w:t>.</w:t>
            </w:r>
          </w:p>
        </w:tc>
      </w:tr>
      <w:tr w:rsidR="00C1352C" w:rsidRPr="00A962CD" w:rsidTr="00F749D9">
        <w:trPr>
          <w:trHeight w:val="359"/>
        </w:trPr>
        <w:tc>
          <w:tcPr>
            <w:tcW w:w="3186"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C1352C" w:rsidRPr="00A962CD" w:rsidRDefault="00C1352C"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F749D9">
        <w:trPr>
          <w:trHeight w:val="917"/>
        </w:trPr>
        <w:tc>
          <w:tcPr>
            <w:tcW w:w="3186" w:type="dxa"/>
          </w:tcPr>
          <w:p w:rsidR="00F749D9" w:rsidRPr="00F749D9" w:rsidRDefault="00D85A05" w:rsidP="00D85A05">
            <w:pPr>
              <w:spacing w:after="120"/>
              <w:rPr>
                <w:rFonts w:ascii="Times New Roman" w:hAnsi="Times New Roman" w:cs="Times New Roman"/>
                <w:sz w:val="20"/>
                <w:szCs w:val="20"/>
                <w:lang w:val="sq-AL"/>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w:t>
            </w:r>
            <w:r w:rsidR="00C1113F" w:rsidRPr="00C1113F">
              <w:rPr>
                <w:rFonts w:ascii="Times New Roman" w:hAnsi="Times New Roman" w:cs="Times New Roman"/>
                <w:sz w:val="20"/>
                <w:szCs w:val="20"/>
                <w:lang w:val="sq-AL"/>
              </w:rPr>
              <w:t xml:space="preserve">Institucioni disponon sistem të menaxhimit nëpërmjet të cilit administron të gjithë informacionin që lidhet me studentët dhe aktivitetin e tyre nga regjistrimi deri në diplomim në programin e studimit.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rPr>
          <w:trHeight w:val="2060"/>
        </w:trPr>
        <w:tc>
          <w:tcPr>
            <w:tcW w:w="3186" w:type="dxa"/>
          </w:tcPr>
          <w:p w:rsidR="00D85A05" w:rsidRPr="00551959" w:rsidRDefault="00D85A05" w:rsidP="00F749D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w:t>
            </w:r>
            <w:r w:rsidR="00551959" w:rsidRPr="00551959">
              <w:rPr>
                <w:rFonts w:ascii="Times New Roman" w:hAnsi="Times New Roman" w:cs="Times New Roman"/>
                <w:sz w:val="20"/>
                <w:szCs w:val="20"/>
                <w:lang w:val="sq-AL"/>
              </w:rPr>
              <w:t>Sistemi i brendshëm i menaxhimit administron informacionin, dokumentacionin dhe aktivitetin e personelit akademik, personelit ndihmësakademik, personelit administrativ dhe partnerëve të anga</w:t>
            </w:r>
            <w:r w:rsidR="00F749D9">
              <w:rPr>
                <w:rFonts w:ascii="Times New Roman" w:hAnsi="Times New Roman" w:cs="Times New Roman"/>
                <w:sz w:val="20"/>
                <w:szCs w:val="20"/>
                <w:lang w:val="sq-AL"/>
              </w:rPr>
              <w:t>zhuar në realizimin e programit</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siguron akses të dedikuar në informacione e dokumente për të gjithë personelin dhe studentët e programit të studimit.</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ka të integruar platforma dhe module që mundësojnë forma të komunikimit interaktiv dhe shkëmbimit të informacionit ndërmjet personelit dhe studentëve.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F749D9">
        <w:tc>
          <w:tcPr>
            <w:tcW w:w="3186" w:type="dxa"/>
          </w:tcPr>
          <w:p w:rsidR="009D5FF6" w:rsidRPr="00D85A05" w:rsidRDefault="00D85A05"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w:t>
            </w:r>
            <w:r w:rsidR="007E4BEB" w:rsidRPr="007E4BEB">
              <w:rPr>
                <w:rFonts w:ascii="Times New Roman" w:hAnsi="Times New Roman" w:cs="Times New Roman"/>
                <w:sz w:val="20"/>
                <w:szCs w:val="20"/>
                <w:lang w:val="sq-AL"/>
              </w:rPr>
              <w:t>Sistemi i menaxhimit garanton monitorim në kohë reale të aktivitetit akademik e administrativ dhe mundëson raportime individuale dhe të dhëna në kohë reale për organet dhe autoritetet drejtuese.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7E4BEB" w:rsidRPr="00A962CD" w:rsidTr="00F749D9">
        <w:tc>
          <w:tcPr>
            <w:tcW w:w="3186" w:type="dxa"/>
          </w:tcPr>
          <w:p w:rsidR="00EA6A88" w:rsidRPr="007C7ECF" w:rsidRDefault="00EA6A88" w:rsidP="00D85A05">
            <w:pPr>
              <w:spacing w:line="276" w:lineRule="auto"/>
              <w:rPr>
                <w:rFonts w:ascii="Times New Roman" w:hAnsi="Times New Roman" w:cs="Times New Roman"/>
                <w:sz w:val="20"/>
                <w:szCs w:val="20"/>
              </w:rPr>
            </w:pPr>
            <w:r w:rsidRPr="00EA6A88">
              <w:rPr>
                <w:rFonts w:ascii="Times New Roman" w:hAnsi="Times New Roman" w:cs="Times New Roman"/>
                <w:b/>
                <w:sz w:val="20"/>
                <w:szCs w:val="20"/>
              </w:rPr>
              <w:t>Kriteri 6.</w:t>
            </w:r>
            <w:r w:rsidRPr="00EA6A88">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njëra prej tyre është gjuha shqipe.</w:t>
            </w:r>
          </w:p>
        </w:tc>
        <w:tc>
          <w:tcPr>
            <w:tcW w:w="6534" w:type="dxa"/>
            <w:gridSpan w:val="4"/>
          </w:tcPr>
          <w:p w:rsidR="007E4BEB" w:rsidRPr="00A962CD" w:rsidRDefault="007E4BEB" w:rsidP="00243BA4">
            <w:pPr>
              <w:spacing w:line="276" w:lineRule="auto"/>
              <w:jc w:val="both"/>
              <w:rPr>
                <w:rFonts w:ascii="Times New Roman" w:hAnsi="Times New Roman" w:cs="Times New Roman"/>
                <w:b/>
              </w:rPr>
            </w:pPr>
          </w:p>
        </w:tc>
      </w:tr>
      <w:tr w:rsidR="00C1352C" w:rsidRPr="00A962CD" w:rsidTr="00F749D9">
        <w:trPr>
          <w:trHeight w:val="315"/>
        </w:trPr>
        <w:tc>
          <w:tcPr>
            <w:tcW w:w="3186"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F749D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493A33" w:rsidRPr="00A962CD" w:rsidTr="007C7ECF">
        <w:tc>
          <w:tcPr>
            <w:tcW w:w="9720" w:type="dxa"/>
            <w:gridSpan w:val="5"/>
            <w:shd w:val="clear" w:color="auto" w:fill="F7CAAC" w:themeFill="accent2" w:themeFillTint="66"/>
          </w:tcPr>
          <w:p w:rsidR="00493A33" w:rsidRPr="00A962CD" w:rsidRDefault="00493A33" w:rsidP="00BC5491">
            <w:pPr>
              <w:ind w:left="1843" w:hanging="1843"/>
              <w:jc w:val="both"/>
              <w:rPr>
                <w:rFonts w:ascii="Times New Roman" w:hAnsi="Times New Roman" w:cs="Times New Roman"/>
                <w:b/>
                <w:lang w:val="sq-AL"/>
              </w:rPr>
            </w:pPr>
            <w:r>
              <w:rPr>
                <w:rFonts w:ascii="Times New Roman" w:hAnsi="Times New Roman" w:cs="Times New Roman"/>
                <w:b/>
                <w:lang w:val="sq-AL"/>
              </w:rPr>
              <w:t>Standardi IV.6</w:t>
            </w:r>
          </w:p>
          <w:p w:rsidR="00493A33" w:rsidRPr="00A962CD" w:rsidRDefault="006F302F" w:rsidP="00BC5491">
            <w:pPr>
              <w:jc w:val="both"/>
              <w:rPr>
                <w:rFonts w:ascii="Times New Roman" w:eastAsia="Times New Roman" w:hAnsi="Times New Roman" w:cs="Times New Roman"/>
                <w:b/>
                <w:color w:val="000000" w:themeColor="text1"/>
                <w:lang w:val="sq-AL"/>
              </w:rPr>
            </w:pPr>
            <w:r w:rsidRPr="006F302F">
              <w:rPr>
                <w:rFonts w:ascii="Times New Roman" w:eastAsia="Times New Roman" w:hAnsi="Times New Roman" w:cs="Times New Roman"/>
                <w:b/>
                <w:bCs/>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bCs/>
                <w:lang w:val="sq-AL"/>
              </w:rPr>
              <w:t>.</w:t>
            </w:r>
          </w:p>
        </w:tc>
      </w:tr>
      <w:tr w:rsidR="00493A33" w:rsidRPr="00A962CD" w:rsidTr="007C7ECF">
        <w:trPr>
          <w:trHeight w:val="359"/>
        </w:trPr>
        <w:tc>
          <w:tcPr>
            <w:tcW w:w="3186" w:type="dxa"/>
            <w:shd w:val="clear" w:color="auto" w:fill="C5E0B3" w:themeFill="accent6" w:themeFillTint="66"/>
          </w:tcPr>
          <w:p w:rsidR="00493A33" w:rsidRPr="00A962CD" w:rsidRDefault="00493A33" w:rsidP="00BC549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493A33" w:rsidRPr="00A962CD" w:rsidRDefault="00493A33" w:rsidP="002F7FBE">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493A33" w:rsidRPr="00A962CD" w:rsidTr="007C7ECF">
        <w:tc>
          <w:tcPr>
            <w:tcW w:w="3186" w:type="dxa"/>
          </w:tcPr>
          <w:p w:rsidR="007C7ECF" w:rsidRPr="007C7ECF" w:rsidRDefault="00493A33" w:rsidP="00BC5491">
            <w:pPr>
              <w:spacing w:after="120"/>
              <w:rPr>
                <w:rFonts w:ascii="Times New Roman" w:hAnsi="Times New Roman" w:cs="Times New Roman"/>
                <w:sz w:val="20"/>
                <w:szCs w:val="20"/>
                <w:lang w:val="sq-AL"/>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Njësia kryesore/bazë harton planin buxhetor për programet e studimit dhe planin për mbështetjen financiare të ne</w:t>
            </w:r>
            <w:r w:rsidR="007C7ECF">
              <w:rPr>
                <w:rFonts w:ascii="Times New Roman" w:hAnsi="Times New Roman" w:cs="Times New Roman"/>
                <w:sz w:val="20"/>
                <w:szCs w:val="20"/>
                <w:lang w:val="sq-AL"/>
              </w:rPr>
              <w:t>vojshme për mbarëvajtjen e tyre.</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2420"/>
        </w:trPr>
        <w:tc>
          <w:tcPr>
            <w:tcW w:w="3186" w:type="dxa"/>
          </w:tcPr>
          <w:p w:rsidR="00493A33" w:rsidRPr="00551959" w:rsidRDefault="00493A33" w:rsidP="007C7ECF">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Plani buxhetor i njësisë kryesore/bazë përgjegjëse për programet e studimit duhet të përmbajë financimin e burimeve njerëzore,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studimit, projektet dhe zëra të tjerë.</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w:t>
            </w:r>
            <w:r w:rsidR="006F302F" w:rsidRPr="006F302F">
              <w:rPr>
                <w:rFonts w:ascii="Times New Roman" w:hAnsi="Times New Roman" w:cs="Times New Roman"/>
                <w:sz w:val="20"/>
                <w:szCs w:val="20"/>
                <w:lang w:val="sq-AL"/>
              </w:rPr>
              <w:t>Institucioni të raportojë deri në nivelin e njësisë bazë përgjegjëse për programin e studimit mbi realizimin e buxhetit të miratuar të vitit paraardhës.</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w:t>
            </w:r>
            <w:r w:rsidR="0050131C" w:rsidRPr="0050131C">
              <w:rPr>
                <w:rFonts w:ascii="Times New Roman" w:hAnsi="Times New Roman" w:cs="Times New Roman"/>
                <w:sz w:val="20"/>
                <w:szCs w:val="20"/>
                <w:lang w:val="sq-AL"/>
              </w:rPr>
              <w:t>Institucioni kryen auditim periodik, vlerëson dhe dokumenton gjendjen e financimit dhe efektivitetin financiar të tij.</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c>
          <w:tcPr>
            <w:tcW w:w="3186" w:type="dxa"/>
          </w:tcPr>
          <w:p w:rsidR="00493A33" w:rsidRPr="00D85A05" w:rsidRDefault="00493A33" w:rsidP="007C7ECF">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w:t>
            </w:r>
            <w:r w:rsidR="0050131C" w:rsidRPr="0050131C">
              <w:rPr>
                <w:rFonts w:ascii="Times New Roman" w:hAnsi="Times New Roman" w:cs="Times New Roman"/>
                <w:sz w:val="20"/>
                <w:szCs w:val="20"/>
                <w:lang w:val="sq-AL"/>
              </w:rPr>
              <w:t>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studimeve.</w:t>
            </w:r>
          </w:p>
        </w:tc>
        <w:tc>
          <w:tcPr>
            <w:tcW w:w="6534" w:type="dxa"/>
            <w:gridSpan w:val="4"/>
          </w:tcPr>
          <w:p w:rsidR="00493A33" w:rsidRPr="00A962CD" w:rsidRDefault="00493A33" w:rsidP="00BC5491">
            <w:pPr>
              <w:spacing w:line="276" w:lineRule="auto"/>
              <w:jc w:val="both"/>
              <w:rPr>
                <w:rFonts w:ascii="Times New Roman" w:hAnsi="Times New Roman" w:cs="Times New Roman"/>
                <w:b/>
              </w:rPr>
            </w:pPr>
          </w:p>
        </w:tc>
      </w:tr>
      <w:tr w:rsidR="00493A33" w:rsidRPr="00A962CD" w:rsidTr="007C7ECF">
        <w:trPr>
          <w:trHeight w:val="315"/>
        </w:trPr>
        <w:tc>
          <w:tcPr>
            <w:tcW w:w="3186" w:type="dxa"/>
            <w:vMerge w:val="restart"/>
            <w:shd w:val="clear" w:color="auto" w:fill="F7CAAC" w:themeFill="accent2" w:themeFillTint="66"/>
          </w:tcPr>
          <w:p w:rsidR="00493A33" w:rsidRPr="00A962CD" w:rsidRDefault="00493A33" w:rsidP="00BC549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493A33" w:rsidRPr="00A962CD" w:rsidRDefault="00493A33" w:rsidP="00BC549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493A33" w:rsidRPr="00A962CD" w:rsidTr="007C7ECF">
        <w:trPr>
          <w:trHeight w:val="404"/>
        </w:trPr>
        <w:tc>
          <w:tcPr>
            <w:tcW w:w="3186" w:type="dxa"/>
            <w:vMerge/>
            <w:shd w:val="clear" w:color="auto" w:fill="F7CAAC" w:themeFill="accent2" w:themeFillTint="66"/>
          </w:tcPr>
          <w:p w:rsidR="00493A33" w:rsidRPr="00A962CD" w:rsidRDefault="00493A33" w:rsidP="00BC5491">
            <w:pPr>
              <w:spacing w:line="276" w:lineRule="auto"/>
              <w:rPr>
                <w:rFonts w:ascii="Times New Roman" w:hAnsi="Times New Roman" w:cs="Times New Roman"/>
                <w:b/>
              </w:rPr>
            </w:pPr>
          </w:p>
        </w:tc>
        <w:tc>
          <w:tcPr>
            <w:tcW w:w="1404" w:type="dxa"/>
          </w:tcPr>
          <w:p w:rsidR="00493A33" w:rsidRPr="00A962CD" w:rsidRDefault="00493A33" w:rsidP="00BC5491">
            <w:pPr>
              <w:spacing w:line="276" w:lineRule="auto"/>
              <w:jc w:val="both"/>
              <w:rPr>
                <w:rFonts w:ascii="Times New Roman" w:hAnsi="Times New Roman" w:cs="Times New Roman"/>
                <w:b/>
              </w:rPr>
            </w:pPr>
          </w:p>
        </w:tc>
        <w:tc>
          <w:tcPr>
            <w:tcW w:w="1800" w:type="dxa"/>
          </w:tcPr>
          <w:p w:rsidR="00493A33" w:rsidRPr="00A962CD" w:rsidRDefault="00493A33" w:rsidP="00BC5491">
            <w:pPr>
              <w:spacing w:line="276" w:lineRule="auto"/>
              <w:jc w:val="both"/>
              <w:rPr>
                <w:rFonts w:ascii="Times New Roman" w:hAnsi="Times New Roman" w:cs="Times New Roman"/>
                <w:b/>
              </w:rPr>
            </w:pPr>
          </w:p>
        </w:tc>
        <w:tc>
          <w:tcPr>
            <w:tcW w:w="1660" w:type="dxa"/>
          </w:tcPr>
          <w:p w:rsidR="00493A33" w:rsidRPr="00A962CD" w:rsidRDefault="00493A33" w:rsidP="00BC5491">
            <w:pPr>
              <w:spacing w:line="276" w:lineRule="auto"/>
              <w:jc w:val="both"/>
              <w:rPr>
                <w:rFonts w:ascii="Times New Roman" w:hAnsi="Times New Roman" w:cs="Times New Roman"/>
                <w:b/>
              </w:rPr>
            </w:pPr>
          </w:p>
        </w:tc>
        <w:tc>
          <w:tcPr>
            <w:tcW w:w="1670" w:type="dxa"/>
          </w:tcPr>
          <w:p w:rsidR="00493A33" w:rsidRPr="00A962CD" w:rsidRDefault="00493A33" w:rsidP="00BC5491">
            <w:pPr>
              <w:spacing w:line="276" w:lineRule="auto"/>
              <w:jc w:val="both"/>
              <w:rPr>
                <w:rFonts w:ascii="Times New Roman" w:hAnsi="Times New Roman" w:cs="Times New Roman"/>
                <w:b/>
              </w:rPr>
            </w:pPr>
          </w:p>
        </w:tc>
      </w:tr>
    </w:tbl>
    <w:p w:rsidR="00EA6A88" w:rsidRPr="00A962CD" w:rsidRDefault="00EA6A88"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C1352C" w:rsidRPr="00A962CD" w:rsidTr="007C7ECF">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7C7ECF">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AE1847" w:rsidRDefault="00AE1847" w:rsidP="00B75C8F">
      <w:pPr>
        <w:spacing w:line="276" w:lineRule="auto"/>
        <w:jc w:val="both"/>
        <w:rPr>
          <w:rFonts w:ascii="Times New Roman" w:hAnsi="Times New Roman" w:cs="Times New Roman"/>
          <w:b/>
          <w:sz w:val="28"/>
          <w:szCs w:val="28"/>
        </w:rPr>
      </w:pPr>
    </w:p>
    <w:p w:rsidR="007C7ECF" w:rsidRDefault="007C7ECF" w:rsidP="00B75C8F">
      <w:pPr>
        <w:spacing w:line="276" w:lineRule="auto"/>
        <w:jc w:val="both"/>
        <w:rPr>
          <w:rFonts w:ascii="Times New Roman" w:hAnsi="Times New Roman" w:cs="Times New Roman"/>
          <w:b/>
          <w:sz w:val="28"/>
          <w:szCs w:val="28"/>
        </w:rPr>
      </w:pPr>
    </w:p>
    <w:p w:rsidR="00AE1847" w:rsidRPr="00B75C8F" w:rsidRDefault="00AE1847"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6959C8" w:rsidP="00243BA4">
            <w:pPr>
              <w:spacing w:line="276" w:lineRule="auto"/>
              <w:jc w:val="both"/>
              <w:rPr>
                <w:rFonts w:ascii="Times New Roman" w:eastAsia="Times New Roman" w:hAnsi="Times New Roman" w:cs="Times New Roman"/>
                <w:b/>
                <w:bCs/>
                <w:lang w:val="sq-AL"/>
              </w:rPr>
            </w:pPr>
            <w:r w:rsidRPr="006959C8">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6B72EA" w:rsidRDefault="006B72EA" w:rsidP="006B72EA">
            <w:pPr>
              <w:spacing w:after="120"/>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 xml:space="preserve">Institucioni harton dhe zbaton politika dhe procedura që mbulojnë ciklin e plotë akademik të studentëve nga hyrja në dalje, në përputhje me legjislacionin në fuqi dhe aktet e veta rregullatore.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Politikat dhe procedurat nga hyrja në dalje garantojnë barazinë dhe të drejta të njëjta për të gjithë kandidatët për studentë dhe studentët e programit të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w:t>
            </w:r>
            <w:r w:rsidR="006959C8" w:rsidRPr="006959C8">
              <w:rPr>
                <w:rFonts w:ascii="Times New Roman" w:hAnsi="Times New Roman" w:cs="Times New Roman"/>
                <w:sz w:val="20"/>
                <w:szCs w:val="20"/>
                <w:lang w:val="sq-AL"/>
              </w:rPr>
              <w:t>Për t’u pranuar në një program studimi “Master Ekzekutiv” (ME) kandidati duhet të ketë përfunduar së paku një program studimi të ciklit të dytë (“Master i shkencave” apo program të integruar të studimi të ciklit të dytë), të jetë profesionist i fushës, të ketë eksperiencë profesionale mbi dy vite të dëshmuar, të ketë njohuri te gjuhës se huaj sipas  specifikimeve tëbazës ligjore, si dhe të plotësojë standardet akademike të kritereve të pranimit të institucionit respektiv për këto programe studimi, të cilat bëhen publike para fillimit të pranimeve tё radhës në institucion.</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Përpara fillimit të çdo viti akademik, institucioni informon publikun dhe të interesuarit në lidhje me kërkesat e kriteret e përgjithshme e të veçanta të programit të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6.</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dhe publikon përpara çdo viti akademik kritere të veçanta për përzgjedhjen e kandidatëve me aftësi të veçanta, të pakicave etj.</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7.</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dhe publikon përpara çdo viti akademik kriteret për përzgjedhjen e kandidatëve nga shtete të tjera.</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8.</w:t>
            </w:r>
            <w:r w:rsidRPr="006B72EA">
              <w:rPr>
                <w:rFonts w:ascii="Times New Roman" w:hAnsi="Times New Roman" w:cs="Times New Roman"/>
                <w:sz w:val="20"/>
                <w:szCs w:val="20"/>
              </w:rPr>
              <w:t xml:space="preserve"> </w:t>
            </w:r>
            <w:r w:rsidR="00873561" w:rsidRPr="00873561">
              <w:rPr>
                <w:rFonts w:ascii="Times New Roman" w:hAnsi="Times New Roman" w:cs="Times New Roman"/>
                <w:sz w:val="20"/>
                <w:szCs w:val="20"/>
                <w:lang w:val="sq-AL"/>
              </w:rPr>
              <w:t>Institucioni harton politika të ndihmës/bursave dhe për të rritur cilësinë e pranimit në programe me përparësi për institucionin dhe për zhvillimin ekonomik të vendit.</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7C7ECF" w:rsidRDefault="00460FC2"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C67702" w:rsidP="00243BA4">
            <w:pPr>
              <w:spacing w:line="276" w:lineRule="auto"/>
              <w:jc w:val="both"/>
              <w:rPr>
                <w:rFonts w:ascii="Times New Roman" w:hAnsi="Times New Roman" w:cs="Times New Roman"/>
                <w:b/>
              </w:rPr>
            </w:pPr>
            <w:r w:rsidRPr="00C67702">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6B72EA" w:rsidRDefault="006B72EA" w:rsidP="00C67702">
            <w:pPr>
              <w:spacing w:after="120"/>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rPr>
              <w:t>Institucioni vë në dispozicion informacion të plotë dhe të hollësishëm në lidhje me kriteret e procedurat e përparimit akademik të studentëve dhe kalimit nga një vit akademik në tjetrin.</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informon studentët në lidhje me kriteret e procedurat e njohjeve të kualifikimeve të mëparshme ose studimeve të pjesshme.</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informon studentët në lidhje me kriteret e procedurat e vlerësimit të dijeve e aftësive të studentëve në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Institucioni i arsimit të lartë informon studentët në lidhje me kriteret e procedurat e punimit të diplomës dhe diplomimit në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7C7ECF">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w:t>
            </w:r>
            <w:r w:rsidR="00C67702" w:rsidRPr="00C67702">
              <w:rPr>
                <w:rFonts w:ascii="Times New Roman" w:hAnsi="Times New Roman" w:cs="Times New Roman"/>
                <w:sz w:val="20"/>
                <w:szCs w:val="20"/>
                <w:lang w:val="sq-AL"/>
              </w:rPr>
              <w:t>Përpara fillimit të çdo viti akademik dhe në mënyrë periodike, institucioni i arsimit të lartë publikon udhëzues të posaçëm dhe organizon takime të hapura për informimin e të interesuarve e studentëve të ardhshëm mbi programin e studimit</w:t>
            </w:r>
            <w:r w:rsidR="00C67702">
              <w:rPr>
                <w:rFonts w:ascii="Times New Roman" w:hAnsi="Times New Roman" w:cs="Times New Roman"/>
                <w:sz w:val="20"/>
                <w:szCs w:val="20"/>
                <w:lang w:val="sq-AL"/>
              </w:rPr>
              <w: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BF1461" w:rsidRDefault="006B72EA" w:rsidP="00BF1461">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C67702" w:rsidP="00243BA4">
            <w:pPr>
              <w:spacing w:line="276" w:lineRule="auto"/>
              <w:jc w:val="both"/>
              <w:rPr>
                <w:rFonts w:ascii="Times New Roman" w:hAnsi="Times New Roman" w:cs="Times New Roman"/>
                <w:b/>
              </w:rPr>
            </w:pPr>
            <w:r w:rsidRPr="00C67702">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7C7ECF">
        <w:trPr>
          <w:trHeight w:val="773"/>
        </w:trPr>
        <w:tc>
          <w:tcPr>
            <w:tcW w:w="3150" w:type="dxa"/>
          </w:tcPr>
          <w:p w:rsidR="00232138" w:rsidRPr="00683872" w:rsidRDefault="00683872" w:rsidP="00683872">
            <w:pPr>
              <w:spacing w:after="120"/>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 xml:space="preserve">Studentët informohen në mënyrë të hollësishme për strukturën, organizimin dhe kohëzgjatjen e programit të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Institucioni vë në dispozicion të studentëve informacion dhe dokumentacion/ udhëzues të posaçëm për lëndët/modulet, përmbajtjen dhe veprimtaritë formuese.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Institucioni informon studentët mbi mundësitë e punësimit, si dhe mbështetjen institucionale për orientimin drejt dhe në tregun e punës.</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Studentëve u vihet në dispozicion informacion i gjerë dhe i përditësuar për zhvillimin dhe organizimin e procesit mësimor, logjistikën, infrastrukturën dhe shërbimet në funksion të realizimit të tij.</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w:t>
            </w:r>
            <w:r w:rsidR="001719CE" w:rsidRPr="001719CE">
              <w:rPr>
                <w:rFonts w:ascii="Times New Roman" w:hAnsi="Times New Roman" w:cs="Times New Roman"/>
                <w:sz w:val="20"/>
                <w:szCs w:val="20"/>
                <w:lang w:val="sq-AL"/>
              </w:rPr>
              <w:t>Informacioni në lidhje me programin e studimit mundësohet përmes sistemit të menaxhimit të brendshëm të informacionit dhe duhet të jetë lehtësisht i arritshëm nga studentët edhe në distancë.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7C7ECF" w:rsidRDefault="002D4635"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32793A" w:rsidP="00243BA4">
            <w:pPr>
              <w:jc w:val="both"/>
              <w:rPr>
                <w:rFonts w:ascii="Times New Roman" w:hAnsi="Times New Roman" w:cs="Times New Roman"/>
                <w:b/>
                <w:lang w:val="sq-AL"/>
              </w:rPr>
            </w:pPr>
            <w:r w:rsidRPr="0032793A">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i arsimit të lartë disponon dhe mban statistika vjetore për numrin e studentëve e të diplomuarve, në programin e studimit.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disponon statistika vjetore për numrin e studentëve të regjistruar në programin e studimit, deri në diplomimin e tyre, tërheqjet nga programi, si dhe largimet para përfundimit të programit apo mospërfundimin me sukses të vitit akademik në të cilin zhvillohet programi i studimeve.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Të dhënat statistikore të studentëve duhet të menaxhohen përmes sistemit të brendshëm të informacionit dhe duhet të jenë të sigurta dhe lehtësisht të verifikueshme nga personat e autorizuar.</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Institucioni mbështet me akte, kontrollin periodik pranë gjithë njësive përgjegjëse për menaxhimin (sekretaritë mësimore, sistemin e menaxhimit të brendshëm të informacionit, etj.), vlerëson dhe dokumenton gjendjen dhe saktësinë e informacionit dhe të dokumentacionit që lidhet me studentët, dhe me veprimtarinë e tyre përkatëse.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7C7ECF">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w:t>
            </w:r>
            <w:r w:rsidR="001B6059" w:rsidRPr="001B6059">
              <w:rPr>
                <w:rFonts w:ascii="Times New Roman" w:hAnsi="Times New Roman" w:cs="Times New Roman"/>
                <w:sz w:val="20"/>
                <w:szCs w:val="20"/>
                <w:lang w:val="sq-AL"/>
              </w:rPr>
              <w:t>Njësia kryesore/bazë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7C7ECF" w:rsidRDefault="00232138" w:rsidP="007C7ECF">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1B6059" w:rsidP="00232138">
            <w:pPr>
              <w:jc w:val="both"/>
              <w:rPr>
                <w:rFonts w:ascii="Times New Roman" w:eastAsia="Times New Roman" w:hAnsi="Times New Roman" w:cs="Times New Roman"/>
                <w:b/>
                <w:bCs/>
                <w:lang w:val="sq-AL"/>
              </w:rPr>
            </w:pPr>
            <w:r w:rsidRPr="001B6059">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Institucioni parashikon përfshirjen dhe angazhimin e studentëve dhe/ose përfaqësuesve të tyre në organet vendimmarrëse e këshilluese sipas akteve ligjore dhe atyre rregullatore të vetë institucionit.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Institucioni duhet të garantojë se përfshirja e studentëve dhe/ose përfaqësuesve të tyre në vendimmarrje, këshillim apo vlerësimin mbi procesin akademik, të jetë reale, konkrete, frutdhënëse dhe me rezultate lehtësisht të verifikueshme e të matshme.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Njësia përgjegjëse garanton përfshirjen e studentëve në procesin e hartimit, rishikimit dhe përmirësimit të programit të studimit mbi baza të rregullta dhe reflekton sugjerimet e kontributin e tyre në to, në mbledhje të përbashkëta në departament, me pyetësorë, grupe fokusimi, etj.</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AB7FAA">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w:t>
            </w:r>
            <w:r w:rsidR="0035362A" w:rsidRPr="0035362A">
              <w:rPr>
                <w:rFonts w:ascii="Times New Roman" w:hAnsi="Times New Roman" w:cs="Times New Roman"/>
                <w:sz w:val="20"/>
                <w:szCs w:val="20"/>
                <w:lang w:val="sq-AL"/>
              </w:rPr>
              <w:t>Studentëve u mundësohet dhënia e mendimit mbi barazinë dhe ndershmërinë e kryerjes së procesit të vlerësimit dhe kontrollit të dijeve, përfshirë mundësinë e ankimimit të rezultatit, rishikimit dhe reflektimit nga ana e institucionit/ njësisë/pedagogut përgjegjës.</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AB7FAA" w:rsidRDefault="00D94CDC"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V.6  </w:t>
            </w:r>
          </w:p>
          <w:p w:rsidR="00FB20ED" w:rsidRPr="00DD61EB" w:rsidRDefault="00FB20ED" w:rsidP="00237D71">
            <w:pPr>
              <w:jc w:val="both"/>
              <w:rPr>
                <w:rFonts w:ascii="Times New Roman" w:eastAsia="Times New Roman" w:hAnsi="Times New Roman" w:cs="Times New Roman"/>
                <w:b/>
                <w:bCs/>
                <w:lang w:val="sq-AL"/>
              </w:rPr>
            </w:pPr>
            <w:r w:rsidRPr="00FB20ED">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C1352C" w:rsidRPr="00DD61EB" w:rsidTr="00A03B42">
        <w:trPr>
          <w:trHeight w:val="377"/>
        </w:trPr>
        <w:tc>
          <w:tcPr>
            <w:tcW w:w="3145"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5" w:type="dxa"/>
            <w:gridSpan w:val="4"/>
            <w:shd w:val="clear" w:color="auto" w:fill="C5E0B3" w:themeFill="accent6" w:themeFillTint="66"/>
          </w:tcPr>
          <w:p w:rsidR="00C1352C" w:rsidRPr="00DD61EB" w:rsidRDefault="00C1352C" w:rsidP="002F7FBE">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1.</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rPr>
              <w:t>Institucioni ka procedura e njësi të posaçme në shërbim të informimit e shërbimit të studentëve, në përputhje me parashikimet ligjore dhe aktet rregullatore të institucionit.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2.</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Institucioni ka ngritur dhe ka bërë funksional një sistem të posaçëm për informimin, këshillimin, ndjekjen e përparimit të studentëve dhe asistimin e tyre për çështje që kanë të bëjnë me procesin mësimor dhe programin e studimit.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3.</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AB7FAA">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4.</w:t>
            </w:r>
            <w:r w:rsidRPr="00CB67E8">
              <w:rPr>
                <w:rFonts w:ascii="Times New Roman" w:hAnsi="Times New Roman" w:cs="Times New Roman"/>
                <w:sz w:val="20"/>
                <w:szCs w:val="20"/>
              </w:rPr>
              <w:t xml:space="preserve"> </w:t>
            </w:r>
            <w:r w:rsidR="00FB20ED" w:rsidRPr="00FB20ED">
              <w:rPr>
                <w:rFonts w:ascii="Times New Roman" w:hAnsi="Times New Roman" w:cs="Times New Roman"/>
                <w:sz w:val="20"/>
                <w:szCs w:val="20"/>
                <w:lang w:val="sq-AL"/>
              </w:rPr>
              <w:t>Zyra/njësia e karrierës ndjek studentët pas diplomimit, mbledh, përpunon e mban të dhëna mbi shkallën dhe cilësinë e punësimit të studentëve të programit të studimit dhe ua vë ato në dispozicion studentëve dhe organeve e autoriteteve drejtuese përkatëse</w:t>
            </w:r>
            <w:r w:rsidR="00FB20ED">
              <w:rPr>
                <w:rFonts w:ascii="Times New Roman" w:hAnsi="Times New Roman" w:cs="Times New Roman"/>
                <w:sz w:val="20"/>
                <w:szCs w:val="20"/>
                <w:lang w:val="sq-AL"/>
              </w:rPr>
              <w:t>.</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C1352C" w:rsidRPr="00DD61EB" w:rsidTr="00542147">
        <w:trPr>
          <w:trHeight w:val="315"/>
        </w:trPr>
        <w:tc>
          <w:tcPr>
            <w:tcW w:w="3145"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5"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AB7FAA">
        <w:trPr>
          <w:trHeight w:val="368"/>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13376E" w:rsidRPr="0013376E">
        <w:rPr>
          <w:rFonts w:ascii="Times New Roman" w:eastAsia="?????? Pro W3" w:hAnsi="Times New Roman" w:cs="Times New Roman"/>
          <w:b/>
          <w:bCs/>
          <w:sz w:val="24"/>
          <w:szCs w:val="24"/>
          <w:lang w:val="sq-AL"/>
        </w:rPr>
        <w:t>S</w:t>
      </w:r>
      <w:r w:rsidR="005719D8">
        <w:rPr>
          <w:rFonts w:ascii="Times New Roman" w:eastAsia="?????? Pro W3" w:hAnsi="Times New Roman" w:cs="Times New Roman"/>
          <w:b/>
          <w:bCs/>
          <w:sz w:val="24"/>
          <w:szCs w:val="24"/>
          <w:lang w:val="sq-AL"/>
        </w:rPr>
        <w:t>IGURIMI I CILËSISË SË PROGRAMIT</w:t>
      </w:r>
      <w:r w:rsidR="0013376E" w:rsidRPr="0013376E">
        <w:rPr>
          <w:rFonts w:ascii="Times New Roman" w:eastAsia="?????? Pro W3" w:hAnsi="Times New Roman" w:cs="Times New Roman"/>
          <w:b/>
          <w:bCs/>
          <w:sz w:val="24"/>
          <w:szCs w:val="24"/>
          <w:lang w:val="sq-AL"/>
        </w:rPr>
        <w:t xml:space="preserve"> TË STUDIMIT</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A74DB9" w:rsidP="00243BA4">
            <w:pPr>
              <w:spacing w:line="276" w:lineRule="auto"/>
              <w:jc w:val="both"/>
              <w:rPr>
                <w:rFonts w:ascii="Times New Roman" w:eastAsia="Times New Roman" w:hAnsi="Times New Roman" w:cs="Times New Roman"/>
                <w:b/>
                <w:bCs/>
                <w:lang w:val="sq-AL"/>
              </w:rPr>
            </w:pPr>
            <w:r w:rsidRPr="00A74DB9">
              <w:rPr>
                <w:rFonts w:ascii="Times New Roman" w:eastAsia="Times New Roman" w:hAnsi="Times New Roman" w:cs="Times New Roman"/>
                <w:b/>
                <w:bCs/>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1.</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harton udhëzues në nivel institucional, për zhvillimin dhe përdorimin e metodave të ndryshme dhe inovative të mësimdhënies, në bazë të fushës së studimeve, lëndëve/moduleve.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2.</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Strukturat përgjegjëse zhvillojnë mekanizma të monitorimit dhe vlerësojnë në mënyrë periodike, aftësitë mësimdhënëse dhe inovative të personelit akademik dhe ndihmësakademik.</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3.</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garanton përfshirjen e studentëve në vlerësimin periodik të formave e metodave të mësimdhënies, të vlerësimit të dijeve, përfshirë mundësinë e trajtimit të ankimimeve.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4.</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Strukturat përgjegjëse për monitorimin dhe sigurimin e cilësisë në mësimdhënie, bëjnë publike rezultatet e vlerësimit.</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5719D8" w:rsidRPr="005719D8" w:rsidRDefault="005719D8" w:rsidP="00AB7FAA">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5.</w:t>
            </w:r>
            <w:r w:rsidRPr="005719D8">
              <w:rPr>
                <w:rFonts w:ascii="Times New Roman" w:hAnsi="Times New Roman" w:cs="Times New Roman"/>
                <w:sz w:val="20"/>
                <w:szCs w:val="20"/>
              </w:rPr>
              <w:t xml:space="preserve"> </w:t>
            </w:r>
            <w:r w:rsidR="00A74DB9" w:rsidRPr="00A74DB9">
              <w:rPr>
                <w:rFonts w:ascii="Times New Roman" w:hAnsi="Times New Roman" w:cs="Times New Roman"/>
                <w:sz w:val="20"/>
                <w:szCs w:val="20"/>
                <w:lang w:val="sq-AL"/>
              </w:rPr>
              <w:t>Institucioni, nëpërmjet mekanizmave të vlerësimit dhe rezultateve të marra, promovon shembuj të praktikave të mira, nxit personelin akademik për përmirësimin e mëtejshëm të mësimdhënies.</w:t>
            </w: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F335EE" w:rsidP="00243BA4">
            <w:pPr>
              <w:spacing w:line="276" w:lineRule="auto"/>
              <w:jc w:val="both"/>
              <w:rPr>
                <w:rFonts w:ascii="Times New Roman" w:hAnsi="Times New Roman" w:cs="Times New Roman"/>
                <w:b/>
              </w:rPr>
            </w:pPr>
            <w:r w:rsidRPr="00F335EE">
              <w:rPr>
                <w:rFonts w:ascii="Times New Roman" w:hAnsi="Times New Roman" w:cs="Times New Roman"/>
                <w:b/>
                <w:bCs/>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hAnsi="Times New Roman" w:cs="Times New Roman"/>
                <w:b/>
                <w:bCs/>
                <w:lang w:val="sq-AL"/>
              </w:rPr>
              <w: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7"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3" w:type="dxa"/>
          </w:tcPr>
          <w:p w:rsidR="00F643CC" w:rsidRPr="00543B7A" w:rsidRDefault="00543B7A" w:rsidP="00543B7A">
            <w:pPr>
              <w:spacing w:after="120"/>
              <w:rPr>
                <w:rFonts w:ascii="Times New Roman" w:hAnsi="Times New Roman" w:cs="Times New Roman"/>
                <w:sz w:val="20"/>
                <w:szCs w:val="20"/>
              </w:rPr>
            </w:pPr>
            <w:r w:rsidRPr="005218C5">
              <w:rPr>
                <w:rFonts w:ascii="Times New Roman" w:hAnsi="Times New Roman" w:cs="Times New Roman"/>
                <w:b/>
                <w:sz w:val="20"/>
                <w:szCs w:val="20"/>
              </w:rPr>
              <w:t>Kriteri 1.</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rPr>
              <w:t>Institucioni i arsimit të lartë ka politika, struktura dhe procedura për Sigurimin e Brendshëm të Cilësisë (SBC), në përputhje me parashikimet ligjore e nënligjore në fuqi dhe me aktet rregullatore institucionale.</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2.</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lang w:val="sq-AL"/>
              </w:rPr>
              <w:t>Institucioni ka ngritur dhe mban në funksion Sistemin e Brendshëm të Sigurimit të Cilësisë, si dhe zbaton një strategji institucionale për përmirësimin e vazhdueshëm të cilësisë, ku përfshihen studentë, bashkëpunëtorë e ekspertë të jashtëm.</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3.</w:t>
            </w:r>
            <w:r w:rsidRPr="00543B7A">
              <w:rPr>
                <w:rFonts w:ascii="Times New Roman" w:hAnsi="Times New Roman" w:cs="Times New Roman"/>
                <w:sz w:val="20"/>
                <w:szCs w:val="20"/>
              </w:rPr>
              <w:t xml:space="preserve"> </w:t>
            </w:r>
            <w:r w:rsidR="00F335EE" w:rsidRPr="00F335EE">
              <w:rPr>
                <w:rFonts w:ascii="Times New Roman" w:hAnsi="Times New Roman" w:cs="Times New Roman"/>
                <w:sz w:val="20"/>
                <w:szCs w:val="20"/>
                <w:lang w:val="sq-AL"/>
              </w:rPr>
              <w:t>Institucioni përdor instrumentet dhe treguesit e duhur për sigurimin e cilësisë. Sigurimi i jashtëm i cilësisë të institucionit të arsimit tëlartë, realizohet përmes proceseve të vlerësimit të jashtëm të akreditimit, vlerësimeve analitike e krahasuese, si dhe proceseve të tjera që promovojnë e përmirësojnë cilësinë.</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AB7FAA">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4.</w:t>
            </w:r>
            <w:r w:rsidRPr="00543B7A">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të mira.</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365404" w:rsidP="00243BA4">
            <w:pPr>
              <w:spacing w:line="276" w:lineRule="auto"/>
              <w:jc w:val="both"/>
              <w:rPr>
                <w:rFonts w:ascii="Times New Roman" w:hAnsi="Times New Roman" w:cs="Times New Roman"/>
                <w:b/>
              </w:rPr>
            </w:pPr>
            <w:r w:rsidRPr="00365404">
              <w:rPr>
                <w:rFonts w:ascii="Times New Roman" w:eastAsia="Times New Roman" w:hAnsi="Times New Roman" w:cs="Times New Roman"/>
                <w:b/>
                <w:bCs/>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bCs/>
                <w:lang w:val="sq-AL"/>
              </w:rPr>
              <w:t>.</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90" w:type="dxa"/>
          </w:tcPr>
          <w:p w:rsidR="00DE0A79" w:rsidRPr="00211F10" w:rsidRDefault="00211F10" w:rsidP="00211F10">
            <w:pPr>
              <w:spacing w:after="120"/>
              <w:rPr>
                <w:rFonts w:ascii="Times New Roman" w:hAnsi="Times New Roman" w:cs="Times New Roman"/>
                <w:sz w:val="20"/>
                <w:szCs w:val="20"/>
              </w:rPr>
            </w:pPr>
            <w:r w:rsidRPr="00211F10">
              <w:rPr>
                <w:rFonts w:ascii="Times New Roman" w:hAnsi="Times New Roman" w:cs="Times New Roman"/>
                <w:b/>
                <w:sz w:val="20"/>
                <w:szCs w:val="20"/>
              </w:rPr>
              <w:t>Kriteri 1.</w:t>
            </w:r>
            <w:r w:rsidRPr="00211F10">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Institucioni i arsimit të lartë përdor mekanizma e procese formale e të dokumentuara për shqyrtimin, miratimin dhe mbikëqyrjen periodike të programit të studimit, që i shërbejnë akreditimit të tij. Në këtë proces realizon evidentimin e arritjeve dhe dobësive, motivimin e praktikave dhe arritjeve më të mira, dhe planin e masave për përmirësim. Rezultatet e këtyre vlerësimeve, dokumentohen dhe u bëhen të njohura autoriteteve përgjegjëse dhe vendimmarrëse për programin e studimit.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2.</w:t>
            </w:r>
            <w:r w:rsidRPr="00211F10">
              <w:rPr>
                <w:rFonts w:ascii="Times New Roman" w:hAnsi="Times New Roman" w:cs="Times New Roman"/>
                <w:sz w:val="20"/>
                <w:szCs w:val="20"/>
              </w:rPr>
              <w:t xml:space="preserve"> </w:t>
            </w:r>
            <w:r w:rsidR="00365404" w:rsidRPr="00365404">
              <w:rPr>
                <w:rFonts w:ascii="Times New Roman" w:hAnsi="Times New Roman" w:cs="Times New Roman"/>
                <w:sz w:val="20"/>
                <w:szCs w:val="20"/>
                <w:lang w:val="sq-AL"/>
              </w:rPr>
              <w:t>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personeli akademik dhe studentët.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211F10">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 orëve praktike, testime lokale apo të standardizuara, rezultatet e arritura në testime ndërinstitucionale apo kombëtare, si: provimi i shtetit për profesionet e rregulluara dhe të tjera.</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211F10">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në kuadër të vlerësimit të realizimit, mbarëvajtjes e cilësisë së programit të studimit përdor metoda e instrumente të tërthorta vlerësimi, si: sondazhe e intervista të studentëve, të të diplomuarve, të personelit akademik, ndihmësakademik e administrativ, punëdhënësve e të institucioneve që bashkëpunojnë në realizimin e programit të studimit dhe palëve të tjera, që përfshihen në realizimin apo që shërbejnë për vlerësimin e dijeve e kompetencave të përftuara nga ky program.</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7511CE" w:rsidP="00DE0A79">
            <w:pPr>
              <w:jc w:val="both"/>
              <w:rPr>
                <w:rFonts w:ascii="Times New Roman" w:eastAsia="Times New Roman" w:hAnsi="Times New Roman" w:cs="Times New Roman"/>
                <w:b/>
                <w:bCs/>
                <w:lang w:val="sq-AL"/>
              </w:rPr>
            </w:pPr>
            <w:r w:rsidRPr="007511CE">
              <w:rPr>
                <w:rFonts w:ascii="Times New Roman" w:hAnsi="Times New Roman" w:cs="Times New Roman"/>
                <w:b/>
                <w:bCs/>
                <w:lang w:val="sq-AL"/>
              </w:rPr>
              <w:t>Institucioni i arsimit të lartë përfshin njësitë akademike, personeli akademik e studentët në proceset e SBC-së të programit të studimit dhe informon palët e interesuara në lidhje me rezultatet dhe masat e marra në vijim të tyre</w:t>
            </w:r>
            <w:r>
              <w:rPr>
                <w:rFonts w:ascii="Times New Roman" w:hAnsi="Times New Roman" w:cs="Times New Roman"/>
                <w:b/>
                <w:bCs/>
                <w:lang w:val="sq-AL"/>
              </w:rPr>
              <w:t>.</w:t>
            </w:r>
          </w:p>
        </w:tc>
      </w:tr>
      <w:tr w:rsidR="00C1352C" w:rsidRPr="00A8276A" w:rsidTr="00753369">
        <w:trPr>
          <w:trHeight w:val="350"/>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1.</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duhet të parashikojë dhe të garantojë në politikat dhe procedurat e brendshme të cilësisë, përfshirjen e aktorëve të brendshëm dhe të jashtëm siç janë Bordi i Programit, ekspertë të fushës, përfaqësues të organizatave bashkëpunuese apo edhe përfaqësues të industrisë, të interesuar për sigurimin dhe përmirësimin e vazhduar të cilësisë së 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2.</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Institucioni përcakton përgjegjësi dhe detyra konkrete për njësitë, individët, studentët dhe palë të tjera të angazhuara në sigurimin e brendshëm të cilësisë, së programit të studimit dhe garanton ushtrimin me përgjegjësi të këtyre detyrave.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Në vlerësimin dhe sigurimin e cilësisë së programit të studimit, duhet të garantohet përfshirja e njësisë bazë dhe kryesore, përgjegjëse për programin e studimit, anëtarëve të personelit akademik, ndihmësakademik e administrative dhe studentëve tëprogramit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rPr>
              <w:t>Përfshirja dhe aktivizimi i aktorëve të brendshëm në proceset periodike të vlerësimit, duhet të respektojë integritetin akademik dhe të shmangë çdo lloj diskriminimi apo pabarazie, kundrejt personelit dhe studentëve.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AB7FAA">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5.</w:t>
            </w:r>
            <w:r w:rsidRPr="0074441C">
              <w:rPr>
                <w:rFonts w:ascii="Times New Roman" w:hAnsi="Times New Roman" w:cs="Times New Roman"/>
                <w:sz w:val="20"/>
                <w:szCs w:val="20"/>
              </w:rPr>
              <w:t xml:space="preserve"> </w:t>
            </w:r>
            <w:r w:rsidR="007511CE" w:rsidRPr="007511CE">
              <w:rPr>
                <w:rFonts w:ascii="Times New Roman" w:hAnsi="Times New Roman" w:cs="Times New Roman"/>
                <w:sz w:val="20"/>
                <w:szCs w:val="20"/>
                <w:lang w:val="sq-AL"/>
              </w:rPr>
              <w:t>Pjesë aktive e proceseve të vlerësimit dhe sigurimit të brendshëm të cilësisë, duhet të bëhen edhe bashkëpunëtorë dhe/ose ekspertë të jashtëm, që kanë lidhje me programin e studimit apo mund të japin ekspertizë e mendime profesionale, në lidhje me cilësinë e programit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AB7FAA" w:rsidRDefault="00DE0A79" w:rsidP="00AB7FAA">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545C77" w:rsidP="00DE0A79">
            <w:pPr>
              <w:jc w:val="both"/>
              <w:rPr>
                <w:rFonts w:ascii="Times New Roman" w:eastAsia="Times New Roman" w:hAnsi="Times New Roman" w:cs="Times New Roman"/>
                <w:b/>
                <w:bCs/>
                <w:lang w:val="sq-AL"/>
              </w:rPr>
            </w:pPr>
            <w:r w:rsidRPr="00545C77">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eastAsia="Times New Roman" w:hAnsi="Times New Roman" w:cs="Times New Roman"/>
                <w:b/>
                <w:bCs/>
                <w:lang w:val="sq-AL"/>
              </w:rPr>
              <w:t>.</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2F7FBE">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bookmarkStart w:id="2" w:name="_GoBack"/>
            <w:bookmarkEnd w:id="2"/>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1.</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Politika, strategjia, organizimi dhe veprimtaritë në kuadër të sistemit të Sigurimit të Brendshëm të Cilësisë për programin e studimit, janë transparente dhe bëhen publike për studentët dhe të gjithë të interesuarit.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2.</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Institucioni i arsimit të lartë, publikon rezultatet e vlerësimeve të programit të studimit, duke respektuar lirinë dhe etikën akademike, si dhe legjislacionin për të dhënat personale.</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3.</w:t>
            </w:r>
            <w:r w:rsidRPr="00481C05">
              <w:rPr>
                <w:rFonts w:ascii="Times New Roman" w:hAnsi="Times New Roman" w:cs="Times New Roman"/>
                <w:sz w:val="20"/>
                <w:szCs w:val="20"/>
              </w:rPr>
              <w:t xml:space="preserve"> </w:t>
            </w:r>
            <w:r w:rsidR="00545C77" w:rsidRPr="00545C77">
              <w:rPr>
                <w:rFonts w:ascii="Times New Roman" w:hAnsi="Times New Roman" w:cs="Times New Roman"/>
                <w:sz w:val="20"/>
                <w:szCs w:val="20"/>
                <w:lang w:val="sq-AL"/>
              </w:rPr>
              <w:t>Rezultatet e vlerësimit duhet të shoqërohen me një plan masash, që adresojnë dhe synojnë përmirësimin e mangësive e dobësive të evidentuara.</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4.</w:t>
            </w:r>
            <w:r w:rsidRPr="00481C05">
              <w:rPr>
                <w:rFonts w:ascii="Times New Roman" w:hAnsi="Times New Roman" w:cs="Times New Roman"/>
                <w:sz w:val="20"/>
                <w:szCs w:val="20"/>
              </w:rPr>
              <w:t xml:space="preserve"> </w:t>
            </w:r>
            <w:r w:rsidR="00F32A51" w:rsidRPr="00F32A51">
              <w:rPr>
                <w:rFonts w:ascii="Times New Roman" w:hAnsi="Times New Roman" w:cs="Times New Roman"/>
                <w:sz w:val="20"/>
                <w:szCs w:val="20"/>
                <w:lang w:val="sq-AL"/>
              </w:rPr>
              <w:t>Institucioni vlerëson dhe siguron efektivitetin dhe ndikimin e veprimtarive në kuadër të monitorimit e vlerësimit të cilësisë, në përmirësimin në vijim të cilësisë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AB7FAA">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5.</w:t>
            </w:r>
            <w:r w:rsidRPr="00481C05">
              <w:rPr>
                <w:rFonts w:ascii="Times New Roman" w:hAnsi="Times New Roman" w:cs="Times New Roman"/>
                <w:sz w:val="20"/>
                <w:szCs w:val="20"/>
              </w:rPr>
              <w:t xml:space="preserve"> </w:t>
            </w:r>
            <w:r w:rsidR="00F32A51" w:rsidRPr="00F32A51">
              <w:rPr>
                <w:rFonts w:ascii="Times New Roman" w:hAnsi="Times New Roman" w:cs="Times New Roman"/>
                <w:sz w:val="20"/>
                <w:szCs w:val="20"/>
                <w:lang w:val="sq-AL"/>
              </w:rPr>
              <w:t>Institucioni organizon veprimtari periodike me personelin dhe studentët, për informimin dhe ndërgjegjësimin e tyre për sigurimin dhe përmirësimin afatgjatë, të cilësisë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BF1461" w:rsidRDefault="00BF1461" w:rsidP="000C7E54">
      <w:pPr>
        <w:rPr>
          <w:rFonts w:ascii="Times New Roman" w:eastAsia="?????? Pro W3" w:hAnsi="Times New Roman" w:cs="Times New Roman"/>
          <w:b/>
          <w:sz w:val="24"/>
          <w:szCs w:val="24"/>
          <w:lang w:val="sq-AL"/>
        </w:rPr>
      </w:pPr>
    </w:p>
    <w:p w:rsidR="00C1352C" w:rsidRPr="000C7E54" w:rsidRDefault="00C1352C" w:rsidP="000C7E54">
      <w:pPr>
        <w:rPr>
          <w:rFonts w:ascii="Times New Roman" w:eastAsia="?????? Pro W3" w:hAnsi="Times New Roman" w:cs="Times New Roman"/>
          <w:b/>
          <w:szCs w:val="24"/>
          <w:lang w:val="sq-AL"/>
        </w:rPr>
      </w:pPr>
      <w:r w:rsidRPr="000C7E54">
        <w:rPr>
          <w:rFonts w:ascii="Times New Roman" w:hAnsi="Times New Roman" w:cs="Times New Roman"/>
          <w:b/>
          <w:sz w:val="24"/>
          <w:szCs w:val="28"/>
          <w:u w:val="single"/>
        </w:rPr>
        <w:t xml:space="preserve">Përfundime të Vlerësimit të programit të studimit </w:t>
      </w:r>
      <w:r w:rsidR="00A06858" w:rsidRPr="000C7E54">
        <w:rPr>
          <w:rFonts w:ascii="Times New Roman" w:hAnsi="Times New Roman" w:cs="Times New Roman"/>
          <w:b/>
          <w:sz w:val="24"/>
          <w:szCs w:val="28"/>
          <w:u w:val="single"/>
        </w:rPr>
        <w:t>të ciklit të Tre</w:t>
      </w:r>
      <w:r w:rsidRPr="000C7E54">
        <w:rPr>
          <w:rFonts w:ascii="Times New Roman" w:hAnsi="Times New Roman" w:cs="Times New Roman"/>
          <w:b/>
          <w:sz w:val="24"/>
          <w:szCs w:val="28"/>
          <w:u w:val="single"/>
        </w:rPr>
        <w:t xml:space="preserve">të </w:t>
      </w:r>
      <w:r w:rsidRPr="000C7E54">
        <w:rPr>
          <w:rFonts w:ascii="Times New Roman" w:hAnsi="Times New Roman" w:cs="Times New Roman"/>
          <w:b/>
          <w:color w:val="FF0000"/>
          <w:sz w:val="24"/>
          <w:szCs w:val="28"/>
          <w:u w:val="single"/>
        </w:rPr>
        <w:t xml:space="preserve">Master </w:t>
      </w:r>
      <w:r w:rsidR="00A06858" w:rsidRPr="000C7E54">
        <w:rPr>
          <w:rFonts w:ascii="Times New Roman" w:hAnsi="Times New Roman" w:cs="Times New Roman"/>
          <w:b/>
          <w:color w:val="FF0000"/>
          <w:sz w:val="24"/>
          <w:szCs w:val="28"/>
          <w:u w:val="single"/>
        </w:rPr>
        <w:t>Ekzekutiv</w:t>
      </w:r>
      <w:r w:rsidR="0025138E" w:rsidRPr="000C7E54">
        <w:rPr>
          <w:rFonts w:ascii="Times New Roman" w:hAnsi="Times New Roman" w:cs="Times New Roman"/>
          <w:b/>
          <w:color w:val="FF0000"/>
          <w:sz w:val="24"/>
          <w:szCs w:val="28"/>
          <w:u w:val="single"/>
        </w:rPr>
        <w:t xml:space="preserve"> “.......” </w:t>
      </w:r>
    </w:p>
    <w:p w:rsidR="00C1352C" w:rsidRPr="000C7E54" w:rsidRDefault="00C1352C" w:rsidP="006A4485">
      <w:pPr>
        <w:jc w:val="both"/>
        <w:rPr>
          <w:rFonts w:ascii="Times New Roman" w:hAnsi="Times New Roman" w:cs="Times New Roman"/>
          <w:b/>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Pikat e forta dhe afirmime</w:t>
      </w:r>
    </w:p>
    <w:p w:rsidR="00C1352C"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Pika të dobta</w:t>
      </w:r>
    </w:p>
    <w:p w:rsidR="00C1352C"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6A4485" w:rsidRPr="000C7E54"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0C7E54" w:rsidRDefault="00C1352C" w:rsidP="00F86208">
      <w:pPr>
        <w:spacing w:after="120" w:line="276" w:lineRule="auto"/>
        <w:jc w:val="both"/>
        <w:rPr>
          <w:rFonts w:ascii="Times New Roman" w:hAnsi="Times New Roman" w:cs="Times New Roman"/>
          <w:b/>
          <w:szCs w:val="26"/>
        </w:rPr>
      </w:pPr>
      <w:r w:rsidRPr="000C7E54">
        <w:rPr>
          <w:rFonts w:ascii="Times New Roman" w:hAnsi="Times New Roman" w:cs="Times New Roman"/>
          <w:b/>
          <w:szCs w:val="26"/>
        </w:rPr>
        <w:t>Rekomandime</w:t>
      </w:r>
    </w:p>
    <w:p w:rsidR="00C1352C"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F86208" w:rsidRPr="000C7E54"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0C7E54">
        <w:rPr>
          <w:rFonts w:ascii="Times New Roman" w:hAnsi="Times New Roman" w:cs="Times New Roman"/>
          <w:b/>
          <w:sz w:val="20"/>
          <w:szCs w:val="24"/>
        </w:rPr>
        <w:t>….</w:t>
      </w:r>
    </w:p>
    <w:p w:rsidR="00C1352C" w:rsidRPr="000C7E54" w:rsidRDefault="00C1352C" w:rsidP="00C1352C">
      <w:pPr>
        <w:pStyle w:val="ListParagraph"/>
        <w:ind w:left="360" w:hanging="360"/>
        <w:jc w:val="both"/>
        <w:rPr>
          <w:rFonts w:ascii="Times New Roman" w:hAnsi="Times New Roman" w:cs="Times New Roman"/>
          <w:b/>
          <w:sz w:val="20"/>
          <w:szCs w:val="24"/>
        </w:rPr>
      </w:pPr>
    </w:p>
    <w:p w:rsidR="00C51FD0" w:rsidRPr="000C7E54" w:rsidRDefault="00C51FD0" w:rsidP="00F86208">
      <w:pPr>
        <w:jc w:val="both"/>
        <w:rPr>
          <w:rFonts w:ascii="Times New Roman" w:hAnsi="Times New Roman" w:cs="Times New Roman"/>
          <w:b/>
          <w:szCs w:val="26"/>
        </w:rPr>
      </w:pPr>
    </w:p>
    <w:p w:rsidR="00AF2A6C" w:rsidRPr="000C7E54"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0C7E54">
        <w:rPr>
          <w:rFonts w:ascii="Times New Roman" w:hAnsi="Times New Roman"/>
          <w:b/>
          <w:sz w:val="24"/>
          <w:szCs w:val="28"/>
          <w:u w:val="single"/>
        </w:rPr>
        <w:t xml:space="preserve">Evaluation’s conclusions for the </w:t>
      </w:r>
      <w:r w:rsidR="00FA54B8" w:rsidRPr="000C7E54">
        <w:rPr>
          <w:rFonts w:ascii="Times New Roman" w:hAnsi="Times New Roman"/>
          <w:b/>
          <w:sz w:val="24"/>
          <w:szCs w:val="28"/>
          <w:u w:val="single"/>
        </w:rPr>
        <w:t>Third</w:t>
      </w:r>
      <w:r w:rsidRPr="000C7E54">
        <w:rPr>
          <w:rFonts w:ascii="Times New Roman" w:hAnsi="Times New Roman"/>
          <w:b/>
          <w:sz w:val="24"/>
          <w:szCs w:val="28"/>
          <w:u w:val="single"/>
        </w:rPr>
        <w:t xml:space="preserve"> cycle study program </w:t>
      </w:r>
      <w:r w:rsidR="00FA54B8" w:rsidRPr="000C7E54">
        <w:rPr>
          <w:rFonts w:ascii="Times New Roman" w:hAnsi="Times New Roman"/>
          <w:b/>
          <w:color w:val="FF0000"/>
          <w:sz w:val="24"/>
          <w:szCs w:val="28"/>
          <w:u w:val="single"/>
        </w:rPr>
        <w:t>Executiv Master</w:t>
      </w:r>
      <w:r w:rsidRPr="000C7E54">
        <w:rPr>
          <w:rFonts w:ascii="Times New Roman" w:hAnsi="Times New Roman"/>
          <w:b/>
          <w:color w:val="FF0000"/>
          <w:sz w:val="24"/>
          <w:szCs w:val="28"/>
          <w:u w:val="single"/>
        </w:rPr>
        <w:t xml:space="preserve"> “.......” </w:t>
      </w:r>
    </w:p>
    <w:p w:rsidR="00AF2A6C" w:rsidRPr="000C7E54" w:rsidRDefault="00AF2A6C" w:rsidP="00F86208">
      <w:pPr>
        <w:jc w:val="both"/>
        <w:rPr>
          <w:rFonts w:ascii="Times New Roman" w:hAnsi="Times New Roman" w:cs="Times New Roman"/>
          <w:b/>
          <w:szCs w:val="26"/>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Strengths and affirmations</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Weaknesses</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p>
    <w:p w:rsidR="00E8239C" w:rsidRPr="000C7E54" w:rsidRDefault="00E8239C" w:rsidP="00E8239C">
      <w:pPr>
        <w:spacing w:after="120" w:line="276" w:lineRule="auto"/>
        <w:jc w:val="both"/>
        <w:rPr>
          <w:rFonts w:ascii="Times New Roman" w:hAnsi="Times New Roman"/>
          <w:b/>
          <w:szCs w:val="24"/>
        </w:rPr>
      </w:pPr>
      <w:r w:rsidRPr="000C7E54">
        <w:rPr>
          <w:rFonts w:ascii="Times New Roman" w:hAnsi="Times New Roman"/>
          <w:b/>
          <w:szCs w:val="24"/>
        </w:rPr>
        <w:t>Recommendation</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E8239C" w:rsidRPr="000C7E54"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0C7E54">
        <w:rPr>
          <w:rFonts w:ascii="Times New Roman" w:hAnsi="Times New Roman"/>
          <w:b/>
          <w:szCs w:val="24"/>
        </w:rPr>
        <w:t>…..</w:t>
      </w:r>
    </w:p>
    <w:p w:rsidR="00C51FD0" w:rsidRPr="000C7E54" w:rsidRDefault="00C51FD0" w:rsidP="00F86208">
      <w:pPr>
        <w:jc w:val="both"/>
        <w:rPr>
          <w:rFonts w:ascii="Times New Roman" w:hAnsi="Times New Roman" w:cs="Times New Roman"/>
          <w:b/>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C51FD0" w:rsidRPr="000C7E54" w:rsidRDefault="00C51FD0"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Pr="000C7E54"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FA54B8" w:rsidRDefault="00FA54B8"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0C7E54" w:rsidRDefault="000C7E54"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eastAsia="Times New Roman" w:hAnsi="Times New Roman" w:cs="Times New Roman"/>
                <w:b/>
                <w:lang w:val="sq-AL"/>
              </w:rPr>
            </w:pPr>
            <w:r w:rsidRPr="006222BE">
              <w:rPr>
                <w:rFonts w:ascii="Times New Roman" w:eastAsia="Times New Roman" w:hAnsi="Times New Roman" w:cs="Times New Roman"/>
                <w:b/>
                <w:bCs/>
                <w:lang w:val="sq-AL"/>
              </w:rPr>
              <w:t>OFRIMI I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6222BE" w:rsidP="00834A00">
            <w:pPr>
              <w:pStyle w:val="ListParagraph"/>
              <w:numPr>
                <w:ilvl w:val="0"/>
                <w:numId w:val="4"/>
              </w:numPr>
              <w:ind w:left="426" w:hanging="360"/>
              <w:rPr>
                <w:rFonts w:ascii="Times New Roman" w:hAnsi="Times New Roman" w:cs="Times New Roman"/>
                <w:b/>
              </w:rPr>
            </w:pPr>
            <w:r w:rsidRPr="006222BE">
              <w:rPr>
                <w:rFonts w:ascii="Times New Roman" w:eastAsia="?????? Pro W3" w:hAnsi="Times New Roman" w:cs="Times New Roman"/>
                <w:b/>
                <w:bCs/>
                <w:color w:val="000000"/>
                <w:lang w:val="sq-AL"/>
              </w:rPr>
              <w:t>ORGANIZIMI, DREJTI</w:t>
            </w:r>
            <w:r w:rsidR="00CF7571">
              <w:rPr>
                <w:rFonts w:ascii="Times New Roman" w:eastAsia="?????? Pro W3" w:hAnsi="Times New Roman" w:cs="Times New Roman"/>
                <w:b/>
                <w:bCs/>
                <w:color w:val="000000"/>
                <w:lang w:val="sq-AL"/>
              </w:rPr>
              <w:t>MI DHE ADMINISTRIMI I PROGRAMIT</w:t>
            </w:r>
            <w:r w:rsidRPr="006222BE">
              <w:rPr>
                <w:rFonts w:ascii="Times New Roman" w:eastAsia="?????? Pro W3" w:hAnsi="Times New Roman" w:cs="Times New Roman"/>
                <w:b/>
                <w:bCs/>
                <w:color w:val="000000"/>
                <w:lang w:val="sq-AL"/>
              </w:rPr>
              <w:t xml:space="preserve"> TË </w:t>
            </w:r>
            <w:r w:rsidR="00834A00">
              <w:rPr>
                <w:rFonts w:ascii="Times New Roman" w:eastAsia="?????? Pro W3" w:hAnsi="Times New Roman" w:cs="Times New Roman"/>
                <w:b/>
                <w:bCs/>
                <w:color w:val="000000"/>
                <w:lang w:val="sq-AL"/>
              </w:rPr>
              <w:t>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ind w:left="426" w:hanging="360"/>
              <w:rPr>
                <w:rFonts w:ascii="Times New Roman" w:hAnsi="Times New Roman" w:cs="Times New Roman"/>
                <w:b/>
              </w:rPr>
            </w:pPr>
            <w:r w:rsidRPr="00CF7571">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CF7571">
              <w:rPr>
                <w:rFonts w:ascii="Times New Roman" w:eastAsia="Times New Roman" w:hAnsi="Times New Roman" w:cs="Times New Roman"/>
                <w:b/>
                <w:bCs/>
                <w:lang w:val="sq-AL"/>
              </w:rPr>
              <w:t>S</w:t>
            </w:r>
            <w:r>
              <w:rPr>
                <w:rFonts w:ascii="Times New Roman" w:eastAsia="Times New Roman" w:hAnsi="Times New Roman" w:cs="Times New Roman"/>
                <w:b/>
                <w:bCs/>
                <w:lang w:val="sq-AL"/>
              </w:rPr>
              <w:t>IGURIMI I CILËSISË SË PROGRAMIT</w:t>
            </w:r>
            <w:r w:rsidRPr="00CF7571">
              <w:rPr>
                <w:rFonts w:ascii="Times New Roman" w:eastAsia="Times New Roman" w:hAnsi="Times New Roman" w:cs="Times New Roman"/>
                <w:b/>
                <w:bCs/>
                <w:lang w:val="sq-AL"/>
              </w:rPr>
              <w:t xml:space="preserve">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175B00" w:rsidRDefault="00175B00"/>
    <w:p w:rsidR="00175B00" w:rsidRPr="00F36BA9" w:rsidRDefault="00175B00" w:rsidP="00175B00">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175B00" w:rsidRPr="00F36BA9"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175B00" w:rsidRPr="003F4035" w:rsidRDefault="00175B00" w:rsidP="00175B00">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175B00" w:rsidRDefault="00175B00"/>
    <w:sectPr w:rsidR="00175B00"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AF" w:rsidRDefault="008366AF" w:rsidP="00ED503D">
      <w:pPr>
        <w:spacing w:after="0" w:line="240" w:lineRule="auto"/>
      </w:pPr>
      <w:r>
        <w:separator/>
      </w:r>
    </w:p>
  </w:endnote>
  <w:endnote w:type="continuationSeparator" w:id="0">
    <w:p w:rsidR="008366AF" w:rsidRDefault="008366AF"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DB7771" w:rsidRPr="00D06F47" w:rsidRDefault="00DB7771"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DB7771" w:rsidRPr="00D06F47" w:rsidRDefault="00DB7771"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DB7771" w:rsidRPr="00243BA4" w:rsidRDefault="00DB7771">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2F7FBE">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AF" w:rsidRDefault="008366AF" w:rsidP="00ED503D">
      <w:pPr>
        <w:spacing w:after="0" w:line="240" w:lineRule="auto"/>
      </w:pPr>
      <w:r>
        <w:separator/>
      </w:r>
    </w:p>
  </w:footnote>
  <w:footnote w:type="continuationSeparator" w:id="0">
    <w:p w:rsidR="008366AF" w:rsidRDefault="008366AF"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1"/>
  </w:num>
  <w:num w:numId="15">
    <w:abstractNumId w:val="1"/>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05E7"/>
    <w:rsid w:val="000331AE"/>
    <w:rsid w:val="000361D2"/>
    <w:rsid w:val="000829C4"/>
    <w:rsid w:val="000839F4"/>
    <w:rsid w:val="000927D7"/>
    <w:rsid w:val="000A29B8"/>
    <w:rsid w:val="000C68BB"/>
    <w:rsid w:val="000C7E54"/>
    <w:rsid w:val="001173E2"/>
    <w:rsid w:val="00131E96"/>
    <w:rsid w:val="0013376E"/>
    <w:rsid w:val="00136003"/>
    <w:rsid w:val="00146A41"/>
    <w:rsid w:val="001570C3"/>
    <w:rsid w:val="00164B9B"/>
    <w:rsid w:val="001719CE"/>
    <w:rsid w:val="00175B00"/>
    <w:rsid w:val="001B349B"/>
    <w:rsid w:val="001B6059"/>
    <w:rsid w:val="001C0E87"/>
    <w:rsid w:val="00211F10"/>
    <w:rsid w:val="00214550"/>
    <w:rsid w:val="00232138"/>
    <w:rsid w:val="00237D71"/>
    <w:rsid w:val="00243BA4"/>
    <w:rsid w:val="0025138E"/>
    <w:rsid w:val="00264E68"/>
    <w:rsid w:val="00275C04"/>
    <w:rsid w:val="002A5010"/>
    <w:rsid w:val="002A76BD"/>
    <w:rsid w:val="002C0F5B"/>
    <w:rsid w:val="002C6BC8"/>
    <w:rsid w:val="002D4635"/>
    <w:rsid w:val="002F7FBE"/>
    <w:rsid w:val="00301624"/>
    <w:rsid w:val="00326C74"/>
    <w:rsid w:val="0032793A"/>
    <w:rsid w:val="00342D97"/>
    <w:rsid w:val="00347F7A"/>
    <w:rsid w:val="0035362A"/>
    <w:rsid w:val="00365404"/>
    <w:rsid w:val="00377080"/>
    <w:rsid w:val="003847F8"/>
    <w:rsid w:val="003A469E"/>
    <w:rsid w:val="003C15E0"/>
    <w:rsid w:val="003C7453"/>
    <w:rsid w:val="003D2214"/>
    <w:rsid w:val="003E0356"/>
    <w:rsid w:val="0040310B"/>
    <w:rsid w:val="0040759B"/>
    <w:rsid w:val="00422BF6"/>
    <w:rsid w:val="00435270"/>
    <w:rsid w:val="00447265"/>
    <w:rsid w:val="00460FC2"/>
    <w:rsid w:val="004724E8"/>
    <w:rsid w:val="00475E68"/>
    <w:rsid w:val="00481C05"/>
    <w:rsid w:val="00485647"/>
    <w:rsid w:val="00493A33"/>
    <w:rsid w:val="004C230A"/>
    <w:rsid w:val="004E0BA5"/>
    <w:rsid w:val="004E5A4F"/>
    <w:rsid w:val="004F6C09"/>
    <w:rsid w:val="00500475"/>
    <w:rsid w:val="0050131C"/>
    <w:rsid w:val="00504DE4"/>
    <w:rsid w:val="00515D52"/>
    <w:rsid w:val="005218C5"/>
    <w:rsid w:val="005269F1"/>
    <w:rsid w:val="005276D3"/>
    <w:rsid w:val="00532419"/>
    <w:rsid w:val="00542147"/>
    <w:rsid w:val="00543B7A"/>
    <w:rsid w:val="00545C77"/>
    <w:rsid w:val="00547084"/>
    <w:rsid w:val="00551959"/>
    <w:rsid w:val="005719D8"/>
    <w:rsid w:val="005A30E1"/>
    <w:rsid w:val="005C268F"/>
    <w:rsid w:val="005C2B1B"/>
    <w:rsid w:val="005E3B1E"/>
    <w:rsid w:val="005E6F8E"/>
    <w:rsid w:val="005E71C0"/>
    <w:rsid w:val="006134A2"/>
    <w:rsid w:val="006210CF"/>
    <w:rsid w:val="006222BE"/>
    <w:rsid w:val="00632F97"/>
    <w:rsid w:val="00651B46"/>
    <w:rsid w:val="006537E0"/>
    <w:rsid w:val="006565A7"/>
    <w:rsid w:val="0068301E"/>
    <w:rsid w:val="00683872"/>
    <w:rsid w:val="006906C1"/>
    <w:rsid w:val="006959C8"/>
    <w:rsid w:val="006A4485"/>
    <w:rsid w:val="006A631F"/>
    <w:rsid w:val="006B22A3"/>
    <w:rsid w:val="006B72EA"/>
    <w:rsid w:val="006E0909"/>
    <w:rsid w:val="006F17A9"/>
    <w:rsid w:val="006F302F"/>
    <w:rsid w:val="00700CA3"/>
    <w:rsid w:val="007066FC"/>
    <w:rsid w:val="00716D9E"/>
    <w:rsid w:val="007175FD"/>
    <w:rsid w:val="00717ED9"/>
    <w:rsid w:val="0072368B"/>
    <w:rsid w:val="0074200D"/>
    <w:rsid w:val="0074441C"/>
    <w:rsid w:val="007510AE"/>
    <w:rsid w:val="007511CE"/>
    <w:rsid w:val="00753369"/>
    <w:rsid w:val="00762EA3"/>
    <w:rsid w:val="00763530"/>
    <w:rsid w:val="007C7ECF"/>
    <w:rsid w:val="007E4BEB"/>
    <w:rsid w:val="007F3D18"/>
    <w:rsid w:val="007F66CB"/>
    <w:rsid w:val="00826B13"/>
    <w:rsid w:val="00834A00"/>
    <w:rsid w:val="008366AF"/>
    <w:rsid w:val="00842D66"/>
    <w:rsid w:val="00861143"/>
    <w:rsid w:val="00873561"/>
    <w:rsid w:val="00883A97"/>
    <w:rsid w:val="00883B80"/>
    <w:rsid w:val="008E3D7B"/>
    <w:rsid w:val="008E67D8"/>
    <w:rsid w:val="008F0079"/>
    <w:rsid w:val="00966AB1"/>
    <w:rsid w:val="009914B4"/>
    <w:rsid w:val="009931AD"/>
    <w:rsid w:val="00995714"/>
    <w:rsid w:val="009B6E5B"/>
    <w:rsid w:val="009C4804"/>
    <w:rsid w:val="009D5FF6"/>
    <w:rsid w:val="009D6985"/>
    <w:rsid w:val="009E2B1B"/>
    <w:rsid w:val="009E4EA0"/>
    <w:rsid w:val="009F5532"/>
    <w:rsid w:val="00A03B42"/>
    <w:rsid w:val="00A06858"/>
    <w:rsid w:val="00A1753D"/>
    <w:rsid w:val="00A22051"/>
    <w:rsid w:val="00A25978"/>
    <w:rsid w:val="00A36075"/>
    <w:rsid w:val="00A50EA8"/>
    <w:rsid w:val="00A540F0"/>
    <w:rsid w:val="00A62943"/>
    <w:rsid w:val="00A6411D"/>
    <w:rsid w:val="00A74DB9"/>
    <w:rsid w:val="00A8276A"/>
    <w:rsid w:val="00A962CD"/>
    <w:rsid w:val="00AB4710"/>
    <w:rsid w:val="00AB7FAA"/>
    <w:rsid w:val="00AC6D62"/>
    <w:rsid w:val="00AD5240"/>
    <w:rsid w:val="00AE1847"/>
    <w:rsid w:val="00AF2A6C"/>
    <w:rsid w:val="00B100A2"/>
    <w:rsid w:val="00B204ED"/>
    <w:rsid w:val="00B23D6C"/>
    <w:rsid w:val="00B53A08"/>
    <w:rsid w:val="00B64C7F"/>
    <w:rsid w:val="00B75C8F"/>
    <w:rsid w:val="00B9204D"/>
    <w:rsid w:val="00B935CD"/>
    <w:rsid w:val="00BA509A"/>
    <w:rsid w:val="00BC5491"/>
    <w:rsid w:val="00BD411B"/>
    <w:rsid w:val="00BE2961"/>
    <w:rsid w:val="00BE7F06"/>
    <w:rsid w:val="00BF1461"/>
    <w:rsid w:val="00BF46F6"/>
    <w:rsid w:val="00C1113F"/>
    <w:rsid w:val="00C1352C"/>
    <w:rsid w:val="00C1514A"/>
    <w:rsid w:val="00C206B4"/>
    <w:rsid w:val="00C37C9D"/>
    <w:rsid w:val="00C51FD0"/>
    <w:rsid w:val="00C55EB1"/>
    <w:rsid w:val="00C626EA"/>
    <w:rsid w:val="00C67702"/>
    <w:rsid w:val="00CB67E8"/>
    <w:rsid w:val="00CE0595"/>
    <w:rsid w:val="00CF3CE1"/>
    <w:rsid w:val="00CF7571"/>
    <w:rsid w:val="00D41A96"/>
    <w:rsid w:val="00D56BE5"/>
    <w:rsid w:val="00D832FD"/>
    <w:rsid w:val="00D85A05"/>
    <w:rsid w:val="00D94CDC"/>
    <w:rsid w:val="00DB266E"/>
    <w:rsid w:val="00DB7771"/>
    <w:rsid w:val="00DD61EB"/>
    <w:rsid w:val="00DE0A79"/>
    <w:rsid w:val="00DE1FEF"/>
    <w:rsid w:val="00DE2A08"/>
    <w:rsid w:val="00DE4B81"/>
    <w:rsid w:val="00E636C2"/>
    <w:rsid w:val="00E73A00"/>
    <w:rsid w:val="00E81383"/>
    <w:rsid w:val="00E8239C"/>
    <w:rsid w:val="00EA23C7"/>
    <w:rsid w:val="00EA6A88"/>
    <w:rsid w:val="00EC799F"/>
    <w:rsid w:val="00ED3359"/>
    <w:rsid w:val="00ED503D"/>
    <w:rsid w:val="00F24427"/>
    <w:rsid w:val="00F32A51"/>
    <w:rsid w:val="00F335EE"/>
    <w:rsid w:val="00F643CC"/>
    <w:rsid w:val="00F71D6A"/>
    <w:rsid w:val="00F749D9"/>
    <w:rsid w:val="00F77DD4"/>
    <w:rsid w:val="00F86208"/>
    <w:rsid w:val="00F902C7"/>
    <w:rsid w:val="00FA54B8"/>
    <w:rsid w:val="00FB20ED"/>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F38"/>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3014">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46</Pages>
  <Words>9155</Words>
  <Characters>52185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44</cp:revision>
  <dcterms:created xsi:type="dcterms:W3CDTF">2021-05-04T08:11:00Z</dcterms:created>
  <dcterms:modified xsi:type="dcterms:W3CDTF">2022-07-25T07:33:00Z</dcterms:modified>
</cp:coreProperties>
</file>